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60659" w14:textId="01660A50" w:rsidR="00A24173" w:rsidRPr="006E49A6" w:rsidRDefault="0091418B" w:rsidP="00FA353F">
      <w:pPr>
        <w:pStyle w:val="Kop1"/>
        <w:numPr>
          <w:ilvl w:val="0"/>
          <w:numId w:val="0"/>
        </w:numPr>
        <w:ind w:left="720"/>
        <w:rPr>
          <w:lang w:val="nl-NL"/>
        </w:rPr>
      </w:pPr>
      <w:r>
        <w:rPr>
          <w:lang w:val="nl-NL"/>
        </w:rPr>
        <w:t xml:space="preserve">Toelichting </w:t>
      </w:r>
      <w:r w:rsidR="00FA353F" w:rsidRPr="006E49A6">
        <w:rPr>
          <w:lang w:val="nl-NL"/>
        </w:rPr>
        <w:t>bij wijzigingen AIVG</w:t>
      </w:r>
    </w:p>
    <w:p w14:paraId="3464E36F" w14:textId="77777777" w:rsidR="00F130CF" w:rsidRDefault="00F130CF" w:rsidP="009E4259">
      <w:pPr>
        <w:rPr>
          <w:lang w:val="nl-NL"/>
        </w:rPr>
      </w:pPr>
      <w:r w:rsidRPr="00F130CF">
        <w:rPr>
          <w:lang w:val="nl-NL"/>
        </w:rPr>
        <w:t xml:space="preserve">Uitgangspunt van de Algemene Inkoopvoorwaarden Gezondheidszorg (AIVG) is dat deze breed gedragen worden door zorg gerelateerde organisaties om zodoende de administratieve lasten bij instellingen en leveranciers te beperken en het zakendoen te vereenvoudigen. Deze zijn opgesteld en juridisch getoetst door een werkgroep met vertegenwoordigers vanuit instellingen/ samenwerkingsverbanden en vanuit branches. </w:t>
      </w:r>
      <w:bookmarkStart w:id="0" w:name="_Hlk89934073"/>
      <w:r w:rsidRPr="00F130CF">
        <w:rPr>
          <w:lang w:val="nl-NL"/>
        </w:rPr>
        <w:t xml:space="preserve">Namens de koepels van instellingen onderschrijft de </w:t>
      </w:r>
      <w:proofErr w:type="spellStart"/>
      <w:r w:rsidRPr="00F130CF">
        <w:rPr>
          <w:lang w:val="nl-NL"/>
        </w:rPr>
        <w:t>BoZ</w:t>
      </w:r>
      <w:proofErr w:type="spellEnd"/>
      <w:r w:rsidRPr="00F130CF">
        <w:rPr>
          <w:lang w:val="nl-NL"/>
        </w:rPr>
        <w:t xml:space="preserve"> de AIVG</w:t>
      </w:r>
      <w:bookmarkEnd w:id="0"/>
      <w:r w:rsidRPr="00F130CF">
        <w:rPr>
          <w:lang w:val="nl-NL"/>
        </w:rPr>
        <w:t xml:space="preserve">. De nieuwe versie van de AIVG is uitgebreid besproken met leveranciers en vertegenwoordigers vanuit de branches FHI, </w:t>
      </w:r>
      <w:proofErr w:type="spellStart"/>
      <w:r w:rsidRPr="00F130CF">
        <w:rPr>
          <w:lang w:val="nl-NL"/>
        </w:rPr>
        <w:t>Nefemed</w:t>
      </w:r>
      <w:proofErr w:type="spellEnd"/>
      <w:r w:rsidRPr="00F130CF">
        <w:rPr>
          <w:lang w:val="nl-NL"/>
        </w:rPr>
        <w:t xml:space="preserve"> en Diagned, zij hebben ook input geleverd en met hun achterban afgestemd. Voor zowel instellingen en leveranciers is het altijd mogelijk specifieke zaken nader in de overeenkomst vast te stellen en daarmee af te wijken van de AIVG.</w:t>
      </w:r>
    </w:p>
    <w:p w14:paraId="14DF6851" w14:textId="65D8C916" w:rsidR="009E4259" w:rsidRDefault="009E4259" w:rsidP="009E4259">
      <w:pPr>
        <w:rPr>
          <w:lang w:val="nl-NL"/>
        </w:rPr>
      </w:pPr>
      <w:r>
        <w:rPr>
          <w:lang w:val="nl-NL"/>
        </w:rPr>
        <w:t xml:space="preserve">Er is gestreefd om de AIVG zoveel mogelijk (juridisch) gelijk te trekken met de AIV van de NFU. Fundamenteel verschil blijft dat de AIVG een breder toepassingsgebied heeft dan de AIV van de NFU. </w:t>
      </w:r>
      <w:r w:rsidR="00954D53">
        <w:rPr>
          <w:lang w:val="nl-NL"/>
        </w:rPr>
        <w:t>Elke toevoeging is kritisch beoordeeld en geactualiseerd.</w:t>
      </w:r>
    </w:p>
    <w:p w14:paraId="16C50081" w14:textId="5F71E7ED" w:rsidR="009E4259" w:rsidRDefault="009E4259">
      <w:pPr>
        <w:rPr>
          <w:lang w:val="nl-NL"/>
        </w:rPr>
      </w:pPr>
      <w:r>
        <w:rPr>
          <w:lang w:val="nl-NL"/>
        </w:rPr>
        <w:t>Kleine tekstuele wijzigingen zijn niet opgenomen in deze toelichting.</w:t>
      </w:r>
    </w:p>
    <w:p w14:paraId="059B4BC0" w14:textId="0B78E12A" w:rsidR="00270747" w:rsidRDefault="00357FAD" w:rsidP="00A57EAA">
      <w:pPr>
        <w:rPr>
          <w:lang w:val="nl-NL"/>
        </w:rPr>
      </w:pPr>
      <w:r>
        <w:rPr>
          <w:lang w:val="nl-NL"/>
        </w:rPr>
        <w:t>Bij d</w:t>
      </w:r>
      <w:r w:rsidR="006D3DA9">
        <w:rPr>
          <w:lang w:val="nl-NL"/>
        </w:rPr>
        <w:t xml:space="preserve">e </w:t>
      </w:r>
      <w:r w:rsidR="007520DA">
        <w:rPr>
          <w:lang w:val="nl-NL"/>
        </w:rPr>
        <w:t xml:space="preserve">AIVG </w:t>
      </w:r>
      <w:r>
        <w:rPr>
          <w:lang w:val="nl-NL"/>
        </w:rPr>
        <w:t xml:space="preserve">horen ook een aantal aanvullende </w:t>
      </w:r>
      <w:r w:rsidR="006D3DA9">
        <w:rPr>
          <w:lang w:val="nl-NL"/>
        </w:rPr>
        <w:t>modules</w:t>
      </w:r>
      <w:r w:rsidR="00E17588">
        <w:rPr>
          <w:rStyle w:val="Voetnootmarkering"/>
          <w:lang w:val="nl-NL"/>
        </w:rPr>
        <w:footnoteReference w:id="1"/>
      </w:r>
      <w:r w:rsidR="006D3DA9">
        <w:rPr>
          <w:lang w:val="nl-NL"/>
        </w:rPr>
        <w:t xml:space="preserve"> </w:t>
      </w:r>
      <w:r>
        <w:rPr>
          <w:lang w:val="nl-NL"/>
        </w:rPr>
        <w:t xml:space="preserve">voor specifieke zaken, deze </w:t>
      </w:r>
      <w:r w:rsidR="006D3DA9">
        <w:rPr>
          <w:lang w:val="nl-NL"/>
        </w:rPr>
        <w:t xml:space="preserve">kunnen </w:t>
      </w:r>
      <w:r>
        <w:rPr>
          <w:lang w:val="nl-NL"/>
        </w:rPr>
        <w:t xml:space="preserve">in de Overeenkomst </w:t>
      </w:r>
      <w:r w:rsidR="006D3DA9">
        <w:rPr>
          <w:lang w:val="nl-NL"/>
        </w:rPr>
        <w:t>van toepassing worden verklaard. Indien dit het geval is, prevaleren in beginsel de bepalingen van de modules boven de andere algemene bepalingen.</w:t>
      </w:r>
    </w:p>
    <w:p w14:paraId="097F49E9" w14:textId="27A6EE81" w:rsidR="00505947" w:rsidRPr="00FA353F" w:rsidRDefault="00505947" w:rsidP="00505947">
      <w:pPr>
        <w:pStyle w:val="Kop2"/>
        <w:ind w:left="1080" w:hanging="720"/>
        <w:rPr>
          <w:lang w:val="nl-NL"/>
        </w:rPr>
      </w:pPr>
      <w:r w:rsidRPr="00FA353F">
        <w:rPr>
          <w:lang w:val="nl-NL"/>
        </w:rPr>
        <w:t xml:space="preserve">Artikel </w:t>
      </w:r>
      <w:r>
        <w:rPr>
          <w:lang w:val="nl-NL"/>
        </w:rPr>
        <w:t>1 Definities</w:t>
      </w:r>
    </w:p>
    <w:p w14:paraId="73432C69" w14:textId="6E712EBB" w:rsidR="00505947" w:rsidRDefault="00505947" w:rsidP="00505947">
      <w:pPr>
        <w:rPr>
          <w:lang w:val="nl-NL"/>
        </w:rPr>
      </w:pPr>
      <w:r w:rsidRPr="00FA353F">
        <w:rPr>
          <w:lang w:val="nl-NL"/>
        </w:rPr>
        <w:t xml:space="preserve">Ten opzichte van de AIVG 2017 </w:t>
      </w:r>
      <w:r>
        <w:rPr>
          <w:lang w:val="nl-NL"/>
        </w:rPr>
        <w:t>zijn er definities toegevoegd, gewijzigd of vervallen, hieronder worden deze weergegeven.</w:t>
      </w:r>
    </w:p>
    <w:p w14:paraId="5704AF40" w14:textId="538BEF93" w:rsidR="00505947" w:rsidRDefault="00505947" w:rsidP="00505947">
      <w:pPr>
        <w:rPr>
          <w:lang w:val="nl-NL"/>
        </w:rPr>
      </w:pPr>
      <w:r>
        <w:rPr>
          <w:lang w:val="nl-NL"/>
        </w:rPr>
        <w:t>Toegevoegd zijn de volgende definities:</w:t>
      </w:r>
    </w:p>
    <w:p w14:paraId="69C41612" w14:textId="417085ED" w:rsidR="00505947" w:rsidRDefault="00505947" w:rsidP="00505947">
      <w:pPr>
        <w:pStyle w:val="Lijstalinea"/>
        <w:numPr>
          <w:ilvl w:val="0"/>
          <w:numId w:val="12"/>
        </w:numPr>
        <w:rPr>
          <w:lang w:val="nl-NL"/>
        </w:rPr>
      </w:pPr>
      <w:r>
        <w:rPr>
          <w:lang w:val="nl-NL"/>
        </w:rPr>
        <w:t>Documentatie</w:t>
      </w:r>
    </w:p>
    <w:p w14:paraId="228F98FE" w14:textId="7C35598A" w:rsidR="00505947" w:rsidRDefault="00505947" w:rsidP="00505947">
      <w:pPr>
        <w:pStyle w:val="Lijstalinea"/>
        <w:numPr>
          <w:ilvl w:val="0"/>
          <w:numId w:val="12"/>
        </w:numPr>
        <w:rPr>
          <w:lang w:val="nl-NL"/>
        </w:rPr>
      </w:pPr>
      <w:r w:rsidRPr="00505947">
        <w:rPr>
          <w:lang w:val="nl-NL"/>
        </w:rPr>
        <w:t>Gebruikelijke levensduur</w:t>
      </w:r>
    </w:p>
    <w:p w14:paraId="25B9006A" w14:textId="4B722F54" w:rsidR="00AC28AC" w:rsidRDefault="00AC28AC" w:rsidP="00505947">
      <w:pPr>
        <w:pStyle w:val="Lijstalinea"/>
        <w:numPr>
          <w:ilvl w:val="0"/>
          <w:numId w:val="12"/>
        </w:numPr>
        <w:rPr>
          <w:lang w:val="nl-NL"/>
        </w:rPr>
      </w:pPr>
      <w:r w:rsidRPr="00AC28AC">
        <w:rPr>
          <w:lang w:val="nl-NL"/>
        </w:rPr>
        <w:t>Grondstoffenpaspoort</w:t>
      </w:r>
    </w:p>
    <w:p w14:paraId="768E933D" w14:textId="64002EBE" w:rsidR="00AC28AC" w:rsidRDefault="00AC28AC" w:rsidP="00505947">
      <w:pPr>
        <w:pStyle w:val="Lijstalinea"/>
        <w:numPr>
          <w:ilvl w:val="0"/>
          <w:numId w:val="12"/>
        </w:numPr>
        <w:rPr>
          <w:lang w:val="nl-NL"/>
        </w:rPr>
      </w:pPr>
      <w:r w:rsidRPr="00AC28AC">
        <w:rPr>
          <w:lang w:val="nl-NL"/>
        </w:rPr>
        <w:t>Hulpmaterialen</w:t>
      </w:r>
    </w:p>
    <w:p w14:paraId="760E0D0E" w14:textId="15E8CCCF" w:rsidR="00AC28AC" w:rsidRDefault="00AC28AC" w:rsidP="00505947">
      <w:pPr>
        <w:pStyle w:val="Lijstalinea"/>
        <w:numPr>
          <w:ilvl w:val="0"/>
          <w:numId w:val="12"/>
        </w:numPr>
        <w:rPr>
          <w:lang w:val="nl-NL"/>
        </w:rPr>
      </w:pPr>
      <w:r>
        <w:rPr>
          <w:lang w:val="nl-NL"/>
        </w:rPr>
        <w:t>Onderdelen</w:t>
      </w:r>
    </w:p>
    <w:p w14:paraId="1F05DF64" w14:textId="46986041" w:rsidR="00AC28AC" w:rsidRDefault="00AC28AC" w:rsidP="00505947">
      <w:pPr>
        <w:pStyle w:val="Lijstalinea"/>
        <w:numPr>
          <w:ilvl w:val="0"/>
          <w:numId w:val="12"/>
        </w:numPr>
        <w:rPr>
          <w:lang w:val="nl-NL"/>
        </w:rPr>
      </w:pPr>
      <w:r>
        <w:rPr>
          <w:lang w:val="nl-NL"/>
        </w:rPr>
        <w:t>Opdrachtgever</w:t>
      </w:r>
      <w:r w:rsidR="00D17549">
        <w:rPr>
          <w:rStyle w:val="Voetnootmarkering"/>
          <w:lang w:val="nl-NL"/>
        </w:rPr>
        <w:footnoteReference w:id="2"/>
      </w:r>
    </w:p>
    <w:p w14:paraId="3227B811" w14:textId="0E43FD25" w:rsidR="00AC28AC" w:rsidRDefault="00AC28AC" w:rsidP="00505947">
      <w:pPr>
        <w:pStyle w:val="Lijstalinea"/>
        <w:numPr>
          <w:ilvl w:val="0"/>
          <w:numId w:val="12"/>
        </w:numPr>
        <w:rPr>
          <w:lang w:val="nl-NL"/>
        </w:rPr>
      </w:pPr>
      <w:r w:rsidRPr="00AC28AC">
        <w:rPr>
          <w:lang w:val="nl-NL"/>
        </w:rPr>
        <w:t>Proefplaatsingsconvenant</w:t>
      </w:r>
    </w:p>
    <w:p w14:paraId="6153346E" w14:textId="3A8E00B9" w:rsidR="00AC28AC" w:rsidRDefault="00AC28AC" w:rsidP="00505947">
      <w:pPr>
        <w:pStyle w:val="Lijstalinea"/>
        <w:numPr>
          <w:ilvl w:val="0"/>
          <w:numId w:val="12"/>
        </w:numPr>
        <w:rPr>
          <w:lang w:val="nl-NL"/>
        </w:rPr>
      </w:pPr>
      <w:r w:rsidRPr="00AC28AC">
        <w:rPr>
          <w:lang w:val="nl-NL"/>
        </w:rPr>
        <w:t>Proefplaatsingsformulier</w:t>
      </w:r>
    </w:p>
    <w:p w14:paraId="74BE8B67" w14:textId="5FEE7326" w:rsidR="00AC28AC" w:rsidRDefault="00AC28AC" w:rsidP="00505947">
      <w:pPr>
        <w:pStyle w:val="Lijstalinea"/>
        <w:numPr>
          <w:ilvl w:val="0"/>
          <w:numId w:val="12"/>
        </w:numPr>
        <w:rPr>
          <w:lang w:val="nl-NL"/>
        </w:rPr>
      </w:pPr>
      <w:r w:rsidRPr="00AC28AC">
        <w:rPr>
          <w:lang w:val="nl-NL"/>
        </w:rPr>
        <w:t>Reserveonderdelen</w:t>
      </w:r>
    </w:p>
    <w:p w14:paraId="59C463E0" w14:textId="1DFE4833" w:rsidR="00F6760F" w:rsidRDefault="00F6760F" w:rsidP="00505947">
      <w:pPr>
        <w:pStyle w:val="Lijstalinea"/>
        <w:numPr>
          <w:ilvl w:val="0"/>
          <w:numId w:val="12"/>
        </w:numPr>
        <w:rPr>
          <w:lang w:val="nl-NL"/>
        </w:rPr>
      </w:pPr>
      <w:r w:rsidRPr="00F6760F">
        <w:rPr>
          <w:lang w:val="nl-NL"/>
        </w:rPr>
        <w:t>Schriftelijk</w:t>
      </w:r>
    </w:p>
    <w:p w14:paraId="3F248B3E" w14:textId="5AA4A99B" w:rsidR="00574FBC" w:rsidRPr="00505947" w:rsidRDefault="00574FBC" w:rsidP="00505947">
      <w:pPr>
        <w:pStyle w:val="Lijstalinea"/>
        <w:numPr>
          <w:ilvl w:val="0"/>
          <w:numId w:val="12"/>
        </w:numPr>
        <w:rPr>
          <w:lang w:val="nl-NL"/>
        </w:rPr>
      </w:pPr>
      <w:r>
        <w:rPr>
          <w:lang w:val="nl-NL"/>
        </w:rPr>
        <w:t>Werken</w:t>
      </w:r>
    </w:p>
    <w:p w14:paraId="79ED03B0" w14:textId="59ED0F5F" w:rsidR="00505947" w:rsidRDefault="00505947" w:rsidP="00505947">
      <w:pPr>
        <w:rPr>
          <w:lang w:val="nl-NL"/>
        </w:rPr>
      </w:pPr>
      <w:r>
        <w:rPr>
          <w:lang w:val="nl-NL"/>
        </w:rPr>
        <w:t>Gewijzigd zijn de volgende definities:</w:t>
      </w:r>
    </w:p>
    <w:p w14:paraId="14B378B7" w14:textId="6E1026E7" w:rsidR="00505947" w:rsidRDefault="00505947" w:rsidP="00505947">
      <w:pPr>
        <w:pStyle w:val="Lijstalinea"/>
        <w:numPr>
          <w:ilvl w:val="0"/>
          <w:numId w:val="12"/>
        </w:numPr>
        <w:rPr>
          <w:lang w:val="nl-NL"/>
        </w:rPr>
      </w:pPr>
      <w:r>
        <w:rPr>
          <w:lang w:val="nl-NL"/>
        </w:rPr>
        <w:t>Diensten</w:t>
      </w:r>
    </w:p>
    <w:p w14:paraId="442ACF09" w14:textId="0E34D17E" w:rsidR="00505947" w:rsidRDefault="00AC28AC" w:rsidP="00505947">
      <w:pPr>
        <w:pStyle w:val="Lijstalinea"/>
        <w:numPr>
          <w:ilvl w:val="0"/>
          <w:numId w:val="12"/>
        </w:numPr>
        <w:rPr>
          <w:lang w:val="nl-NL"/>
        </w:rPr>
      </w:pPr>
      <w:r>
        <w:rPr>
          <w:lang w:val="nl-NL"/>
        </w:rPr>
        <w:lastRenderedPageBreak/>
        <w:t>Instelling (zie ook de nieuwe definitie Opdrachtgever)</w:t>
      </w:r>
    </w:p>
    <w:p w14:paraId="1B5590B7" w14:textId="048B7E70" w:rsidR="00AC28AC" w:rsidRDefault="00AC28AC" w:rsidP="00505947">
      <w:pPr>
        <w:pStyle w:val="Lijstalinea"/>
        <w:numPr>
          <w:ilvl w:val="0"/>
          <w:numId w:val="12"/>
        </w:numPr>
        <w:rPr>
          <w:lang w:val="nl-NL"/>
        </w:rPr>
      </w:pPr>
      <w:r>
        <w:rPr>
          <w:lang w:val="nl-NL"/>
        </w:rPr>
        <w:t>Overeenkomst</w:t>
      </w:r>
    </w:p>
    <w:p w14:paraId="19BB549D" w14:textId="45B63098" w:rsidR="00AC28AC" w:rsidRDefault="00AC28AC" w:rsidP="00505947">
      <w:pPr>
        <w:pStyle w:val="Lijstalinea"/>
        <w:numPr>
          <w:ilvl w:val="0"/>
          <w:numId w:val="12"/>
        </w:numPr>
        <w:rPr>
          <w:lang w:val="nl-NL"/>
        </w:rPr>
      </w:pPr>
      <w:r>
        <w:rPr>
          <w:lang w:val="nl-NL"/>
        </w:rPr>
        <w:t>Prestatie</w:t>
      </w:r>
    </w:p>
    <w:p w14:paraId="79730EF5" w14:textId="49EF9BA8" w:rsidR="00AC28AC" w:rsidRPr="00505947" w:rsidRDefault="00AC28AC" w:rsidP="00505947">
      <w:pPr>
        <w:pStyle w:val="Lijstalinea"/>
        <w:numPr>
          <w:ilvl w:val="0"/>
          <w:numId w:val="12"/>
        </w:numPr>
        <w:rPr>
          <w:lang w:val="nl-NL"/>
        </w:rPr>
      </w:pPr>
      <w:r>
        <w:rPr>
          <w:lang w:val="nl-NL"/>
        </w:rPr>
        <w:t>Producten</w:t>
      </w:r>
    </w:p>
    <w:p w14:paraId="071AA703" w14:textId="4A3AE9ED" w:rsidR="00505947" w:rsidRDefault="00505947" w:rsidP="00505947">
      <w:pPr>
        <w:rPr>
          <w:lang w:val="nl-NL"/>
        </w:rPr>
      </w:pPr>
      <w:r>
        <w:rPr>
          <w:lang w:val="nl-NL"/>
        </w:rPr>
        <w:t>Vervallen zijn de volgende definities:</w:t>
      </w:r>
    </w:p>
    <w:p w14:paraId="74A1A864" w14:textId="62089D51" w:rsidR="00505947" w:rsidRDefault="00505947" w:rsidP="00505947">
      <w:pPr>
        <w:pStyle w:val="Lijstalinea"/>
        <w:numPr>
          <w:ilvl w:val="0"/>
          <w:numId w:val="12"/>
        </w:numPr>
        <w:rPr>
          <w:lang w:val="nl-NL"/>
        </w:rPr>
      </w:pPr>
      <w:r>
        <w:rPr>
          <w:lang w:val="nl-NL"/>
        </w:rPr>
        <w:t>Duurovereenkomst</w:t>
      </w:r>
    </w:p>
    <w:p w14:paraId="5F7A50D5" w14:textId="3C38D4D4" w:rsidR="00505947" w:rsidRPr="00505947" w:rsidRDefault="00505947" w:rsidP="00A57EAA">
      <w:pPr>
        <w:pStyle w:val="Lijstalinea"/>
        <w:numPr>
          <w:ilvl w:val="0"/>
          <w:numId w:val="12"/>
        </w:numPr>
        <w:rPr>
          <w:lang w:val="nl-NL"/>
        </w:rPr>
      </w:pPr>
      <w:r>
        <w:rPr>
          <w:lang w:val="nl-NL"/>
        </w:rPr>
        <w:t>Fabrikant</w:t>
      </w:r>
    </w:p>
    <w:p w14:paraId="1D857352" w14:textId="203463A5" w:rsidR="00FA353F" w:rsidRPr="00FA353F" w:rsidRDefault="00FA353F" w:rsidP="00FA353F">
      <w:pPr>
        <w:pStyle w:val="Kop2"/>
        <w:ind w:left="1080" w:hanging="720"/>
        <w:rPr>
          <w:lang w:val="nl-NL"/>
        </w:rPr>
      </w:pPr>
      <w:r w:rsidRPr="00FA353F">
        <w:rPr>
          <w:lang w:val="nl-NL"/>
        </w:rPr>
        <w:t>Artikel 2</w:t>
      </w:r>
      <w:r w:rsidR="006B1D85">
        <w:rPr>
          <w:lang w:val="nl-NL"/>
        </w:rPr>
        <w:t xml:space="preserve"> Toepasselijkheid</w:t>
      </w:r>
    </w:p>
    <w:p w14:paraId="23A5D6B3" w14:textId="3E253574" w:rsidR="00FA353F" w:rsidRPr="00FA353F" w:rsidRDefault="00FA353F" w:rsidP="00FA353F">
      <w:pPr>
        <w:rPr>
          <w:lang w:val="nl-NL"/>
        </w:rPr>
      </w:pPr>
      <w:r w:rsidRPr="00FA353F">
        <w:rPr>
          <w:lang w:val="nl-NL"/>
        </w:rPr>
        <w:t>Ten opzichte van de AIVG 2017 is nu in 2.2 toegevoegd dat de Algemene of specifieke (</w:t>
      </w:r>
      <w:r w:rsidR="003461CF">
        <w:rPr>
          <w:lang w:val="nl-NL"/>
        </w:rPr>
        <w:t>l</w:t>
      </w:r>
      <w:r w:rsidRPr="00FA353F">
        <w:rPr>
          <w:lang w:val="nl-NL"/>
        </w:rPr>
        <w:t>everings</w:t>
      </w:r>
      <w:r w:rsidR="003461CF">
        <w:rPr>
          <w:lang w:val="nl-NL"/>
        </w:rPr>
        <w:t>-</w:t>
      </w:r>
      <w:r w:rsidRPr="00FA353F">
        <w:rPr>
          <w:lang w:val="nl-NL"/>
        </w:rPr>
        <w:t>)</w:t>
      </w:r>
      <w:r w:rsidR="003461CF">
        <w:rPr>
          <w:lang w:val="nl-NL"/>
        </w:rPr>
        <w:t xml:space="preserve"> </w:t>
      </w:r>
      <w:r w:rsidRPr="00FA353F">
        <w:rPr>
          <w:lang w:val="nl-NL"/>
        </w:rPr>
        <w:t>voorwaarden van de leverancier uitdrukkelijk van de hand gewezen.</w:t>
      </w:r>
      <w:r w:rsidR="00E17588">
        <w:rPr>
          <w:lang w:val="nl-NL"/>
        </w:rPr>
        <w:t xml:space="preserve"> </w:t>
      </w:r>
      <w:r w:rsidR="00E17588" w:rsidRPr="00E17588">
        <w:rPr>
          <w:lang w:val="nl-NL"/>
        </w:rPr>
        <w:t>Tenzij partijen hiervan afwijken in de overeenkomst</w:t>
      </w:r>
      <w:r w:rsidR="00E17588">
        <w:rPr>
          <w:lang w:val="nl-NL"/>
        </w:rPr>
        <w:t xml:space="preserve"> natuurlijk.</w:t>
      </w:r>
    </w:p>
    <w:p w14:paraId="6AD3EE72" w14:textId="11143038" w:rsidR="0053551C" w:rsidRPr="00FA353F" w:rsidRDefault="0053551C" w:rsidP="0053551C">
      <w:pPr>
        <w:rPr>
          <w:lang w:val="nl-NL"/>
        </w:rPr>
      </w:pPr>
      <w:r w:rsidRPr="00FA353F">
        <w:rPr>
          <w:lang w:val="nl-NL"/>
        </w:rPr>
        <w:t xml:space="preserve">De oude 2.4 is verwijderd. Het was in de 2017 versie zo dat op elke toekomstige aanvraag de leverancier akkoord gaat met de AIVG. Dat is </w:t>
      </w:r>
      <w:r>
        <w:rPr>
          <w:lang w:val="nl-NL"/>
        </w:rPr>
        <w:t>verwijderd</w:t>
      </w:r>
      <w:r w:rsidRPr="00FA353F">
        <w:rPr>
          <w:lang w:val="nl-NL"/>
        </w:rPr>
        <w:t xml:space="preserve">, bij elke </w:t>
      </w:r>
      <w:r>
        <w:rPr>
          <w:lang w:val="nl-NL"/>
        </w:rPr>
        <w:t xml:space="preserve">nieuwe </w:t>
      </w:r>
      <w:r w:rsidRPr="00FA353F">
        <w:rPr>
          <w:lang w:val="nl-NL"/>
        </w:rPr>
        <w:t xml:space="preserve">aanvraag </w:t>
      </w:r>
      <w:r>
        <w:rPr>
          <w:lang w:val="nl-NL"/>
        </w:rPr>
        <w:t>dient opdrachtgever ze van toepassing te verklaren.</w:t>
      </w:r>
    </w:p>
    <w:p w14:paraId="2C2A5690" w14:textId="58C96C02" w:rsidR="00FA353F" w:rsidRPr="00FA353F" w:rsidRDefault="00FA353F" w:rsidP="00FA353F">
      <w:pPr>
        <w:rPr>
          <w:lang w:val="nl-NL"/>
        </w:rPr>
      </w:pPr>
      <w:r w:rsidRPr="00FA353F">
        <w:rPr>
          <w:lang w:val="nl-NL"/>
        </w:rPr>
        <w:t xml:space="preserve">In 2.4 is </w:t>
      </w:r>
      <w:r w:rsidR="006B1D85">
        <w:rPr>
          <w:lang w:val="nl-NL"/>
        </w:rPr>
        <w:t>gewijzigd:</w:t>
      </w:r>
      <w:r w:rsidR="006B1D85" w:rsidRPr="00FA353F">
        <w:rPr>
          <w:lang w:val="nl-NL"/>
        </w:rPr>
        <w:t xml:space="preserve"> </w:t>
      </w:r>
      <w:r w:rsidR="006B1D85">
        <w:rPr>
          <w:lang w:val="nl-NL"/>
        </w:rPr>
        <w:t>b</w:t>
      </w:r>
      <w:r w:rsidRPr="00FA353F">
        <w:rPr>
          <w:lang w:val="nl-NL"/>
        </w:rPr>
        <w:t xml:space="preserve">ij tegenstrijdigheid </w:t>
      </w:r>
      <w:r w:rsidR="006B1D85">
        <w:rPr>
          <w:lang w:val="nl-NL"/>
        </w:rPr>
        <w:t xml:space="preserve">prevaleert </w:t>
      </w:r>
      <w:r w:rsidRPr="00FA353F">
        <w:rPr>
          <w:lang w:val="nl-NL"/>
        </w:rPr>
        <w:t>de inhoud van de Overeenkomst boven de inhoud van deze Inkoopvoorwaarden.</w:t>
      </w:r>
    </w:p>
    <w:p w14:paraId="55AFDB23" w14:textId="78775660" w:rsidR="00FA353F" w:rsidRPr="00FA353F" w:rsidRDefault="00FA353F" w:rsidP="00FA353F">
      <w:pPr>
        <w:rPr>
          <w:lang w:val="nl-NL"/>
        </w:rPr>
      </w:pPr>
      <w:r w:rsidRPr="00FA353F">
        <w:rPr>
          <w:lang w:val="nl-NL"/>
        </w:rPr>
        <w:t>2.7 is ook toegevoegd. Tenzij anders is overeengekomen in de hoger gelegen overeenkomst, prevaleren deze voorwaarden boven alle andere bijlagen.</w:t>
      </w:r>
    </w:p>
    <w:p w14:paraId="5676A2AF" w14:textId="2C6B3B36" w:rsidR="00FA353F" w:rsidRPr="00FA353F" w:rsidRDefault="00FA353F" w:rsidP="00FA353F">
      <w:pPr>
        <w:pStyle w:val="Kop2"/>
        <w:ind w:left="1080" w:hanging="720"/>
        <w:rPr>
          <w:lang w:val="nl-NL"/>
        </w:rPr>
      </w:pPr>
      <w:r w:rsidRPr="00FA353F">
        <w:rPr>
          <w:lang w:val="nl-NL"/>
        </w:rPr>
        <w:t>Artikel 3</w:t>
      </w:r>
      <w:r w:rsidR="00AE2051">
        <w:rPr>
          <w:lang w:val="nl-NL"/>
        </w:rPr>
        <w:t xml:space="preserve"> </w:t>
      </w:r>
      <w:r w:rsidR="006B1D85">
        <w:rPr>
          <w:lang w:val="nl-NL"/>
        </w:rPr>
        <w:t>Totstandkoming van de Overeenkomst</w:t>
      </w:r>
    </w:p>
    <w:p w14:paraId="204BECAB" w14:textId="60C32A4A" w:rsidR="00FA353F" w:rsidRPr="00FA353F" w:rsidRDefault="00FA353F" w:rsidP="00FA353F">
      <w:pPr>
        <w:rPr>
          <w:lang w:val="nl-NL"/>
        </w:rPr>
      </w:pPr>
      <w:r w:rsidRPr="00FA353F">
        <w:rPr>
          <w:lang w:val="nl-NL"/>
        </w:rPr>
        <w:t>3.1 Hier is veranderd dat offertes onvoorwaardelijk en onherroepelijk zijn binnen de geldigheidsduur van de offerte. Is de geldigheidsduur van de offerte verstreken, dan komt de offerte te vervallen.</w:t>
      </w:r>
    </w:p>
    <w:p w14:paraId="1BC30E7A" w14:textId="77777777" w:rsidR="00FA353F" w:rsidRPr="00FA353F" w:rsidRDefault="00FA353F" w:rsidP="00FA353F">
      <w:pPr>
        <w:rPr>
          <w:lang w:val="nl-NL"/>
        </w:rPr>
      </w:pPr>
      <w:r w:rsidRPr="00FA353F">
        <w:rPr>
          <w:lang w:val="nl-NL"/>
        </w:rPr>
        <w:t>3.3 Schriftelijk is nu gedefinieerd.</w:t>
      </w:r>
    </w:p>
    <w:p w14:paraId="4E868CA4" w14:textId="3A3A42AF" w:rsidR="00FA353F" w:rsidRPr="00FA353F" w:rsidRDefault="00FA353F" w:rsidP="00FA353F">
      <w:pPr>
        <w:rPr>
          <w:lang w:val="nl-NL"/>
        </w:rPr>
      </w:pPr>
      <w:r w:rsidRPr="00FA353F">
        <w:rPr>
          <w:lang w:val="nl-NL"/>
        </w:rPr>
        <w:t>In de oude 3.6 werden enkele hulpmaterialen genoemd. Nu zijn hulpmaterialen gedefinieerd.</w:t>
      </w:r>
    </w:p>
    <w:p w14:paraId="1ACE5E8D" w14:textId="77777777" w:rsidR="00FA353F" w:rsidRPr="00FA353F" w:rsidRDefault="00FA353F" w:rsidP="00FA353F">
      <w:pPr>
        <w:pStyle w:val="Kop2"/>
        <w:ind w:left="1080" w:hanging="720"/>
        <w:rPr>
          <w:lang w:val="nl-NL"/>
        </w:rPr>
      </w:pPr>
      <w:r w:rsidRPr="00FA353F">
        <w:rPr>
          <w:lang w:val="nl-NL"/>
        </w:rPr>
        <w:t>Artikel 4</w:t>
      </w:r>
    </w:p>
    <w:p w14:paraId="0565D60E" w14:textId="0FAD9AC2" w:rsidR="00FA353F" w:rsidRPr="00FA353F" w:rsidRDefault="00A4455E" w:rsidP="00FA353F">
      <w:pPr>
        <w:rPr>
          <w:lang w:val="nl-NL"/>
        </w:rPr>
      </w:pPr>
      <w:r>
        <w:rPr>
          <w:lang w:val="nl-NL"/>
        </w:rPr>
        <w:t>Geen wijzigingen.</w:t>
      </w:r>
    </w:p>
    <w:p w14:paraId="2ED19BF2" w14:textId="77777777" w:rsidR="00FA353F" w:rsidRPr="00FA353F" w:rsidRDefault="00FA353F" w:rsidP="00FA353F">
      <w:pPr>
        <w:pStyle w:val="Kop2"/>
        <w:ind w:left="1080" w:hanging="720"/>
        <w:rPr>
          <w:lang w:val="nl-NL"/>
        </w:rPr>
      </w:pPr>
      <w:r w:rsidRPr="00FA353F">
        <w:rPr>
          <w:lang w:val="nl-NL"/>
        </w:rPr>
        <w:t>Artikel 5</w:t>
      </w:r>
    </w:p>
    <w:p w14:paraId="3A5869FB" w14:textId="3A960FD7" w:rsidR="00FA353F" w:rsidRPr="0032382F" w:rsidRDefault="00FA353F" w:rsidP="00FA353F">
      <w:pPr>
        <w:rPr>
          <w:i/>
          <w:iCs/>
          <w:sz w:val="20"/>
          <w:szCs w:val="20"/>
          <w:lang w:val="nl-NL"/>
        </w:rPr>
      </w:pPr>
      <w:r w:rsidRPr="00FA353F">
        <w:rPr>
          <w:lang w:val="nl-NL"/>
        </w:rPr>
        <w:t>5.1 Hier is de mogelijkheid tot indexering toegevoegd. Maar dan moet dat wel bij aanvang van de Overeenkomst schriftelijk vastgelegd zijn</w:t>
      </w:r>
      <w:r w:rsidRPr="0032382F">
        <w:rPr>
          <w:i/>
          <w:iCs/>
          <w:sz w:val="20"/>
          <w:szCs w:val="20"/>
          <w:lang w:val="nl-NL"/>
        </w:rPr>
        <w:t xml:space="preserve">. </w:t>
      </w:r>
    </w:p>
    <w:p w14:paraId="6CE69E91" w14:textId="77777777" w:rsidR="00FA353F" w:rsidRPr="00FA353F" w:rsidRDefault="00FA353F" w:rsidP="00FA353F">
      <w:pPr>
        <w:rPr>
          <w:lang w:val="nl-NL"/>
        </w:rPr>
      </w:pPr>
      <w:r w:rsidRPr="00FA353F">
        <w:rPr>
          <w:lang w:val="nl-NL"/>
        </w:rPr>
        <w:t xml:space="preserve">5.2 De </w:t>
      </w:r>
      <w:proofErr w:type="spellStart"/>
      <w:r w:rsidRPr="00FA353F">
        <w:rPr>
          <w:lang w:val="nl-NL"/>
        </w:rPr>
        <w:t>Incoterms</w:t>
      </w:r>
      <w:proofErr w:type="spellEnd"/>
      <w:r w:rsidRPr="00FA353F">
        <w:rPr>
          <w:lang w:val="nl-NL"/>
        </w:rPr>
        <w:t xml:space="preserve">® 2010 zijn vervangen door de </w:t>
      </w:r>
      <w:proofErr w:type="spellStart"/>
      <w:r w:rsidRPr="00FA353F">
        <w:rPr>
          <w:lang w:val="nl-NL"/>
        </w:rPr>
        <w:t>Incoterms</w:t>
      </w:r>
      <w:proofErr w:type="spellEnd"/>
      <w:r w:rsidRPr="00FA353F">
        <w:rPr>
          <w:lang w:val="nl-NL"/>
        </w:rPr>
        <w:t>® 2020.</w:t>
      </w:r>
    </w:p>
    <w:p w14:paraId="665E1F74" w14:textId="32507159" w:rsidR="00FA353F" w:rsidRPr="00FA353F" w:rsidRDefault="00FA353F" w:rsidP="00FA353F">
      <w:pPr>
        <w:rPr>
          <w:lang w:val="nl-NL"/>
        </w:rPr>
      </w:pPr>
      <w:r w:rsidRPr="00FA353F">
        <w:rPr>
          <w:lang w:val="nl-NL"/>
        </w:rPr>
        <w:t xml:space="preserve">5.2 Hier is toegevoegd dat er in het kader van het kosten- en milieuaspect </w:t>
      </w:r>
      <w:r w:rsidR="00A408D9">
        <w:rPr>
          <w:lang w:val="nl-NL"/>
        </w:rPr>
        <w:t>Partijen (LET OP: NOG VERANDEREN IN FINALE AIVG</w:t>
      </w:r>
      <w:r w:rsidR="00A57EAA">
        <w:rPr>
          <w:lang w:val="nl-NL"/>
        </w:rPr>
        <w:t>)</w:t>
      </w:r>
      <w:r w:rsidR="00A408D9" w:rsidRPr="00FA353F">
        <w:rPr>
          <w:lang w:val="nl-NL"/>
        </w:rPr>
        <w:t xml:space="preserve"> </w:t>
      </w:r>
      <w:r w:rsidRPr="00FA353F">
        <w:rPr>
          <w:lang w:val="nl-NL"/>
        </w:rPr>
        <w:t xml:space="preserve">zich </w:t>
      </w:r>
      <w:r w:rsidR="00A408D9" w:rsidRPr="00FA353F">
        <w:rPr>
          <w:lang w:val="nl-NL"/>
        </w:rPr>
        <w:t>inspan</w:t>
      </w:r>
      <w:r w:rsidR="00A408D9">
        <w:rPr>
          <w:lang w:val="nl-NL"/>
        </w:rPr>
        <w:t>nen</w:t>
      </w:r>
      <w:r w:rsidR="00A408D9" w:rsidRPr="00FA353F">
        <w:rPr>
          <w:lang w:val="nl-NL"/>
        </w:rPr>
        <w:t xml:space="preserve"> </w:t>
      </w:r>
      <w:r w:rsidRPr="00FA353F">
        <w:rPr>
          <w:lang w:val="nl-NL"/>
        </w:rPr>
        <w:t>om zoveel mogelijk producten in 1 levering te doen.</w:t>
      </w:r>
    </w:p>
    <w:p w14:paraId="43E98BDE" w14:textId="07E84E35" w:rsidR="00FA353F" w:rsidRPr="0032382F" w:rsidRDefault="00FA353F" w:rsidP="00FA353F">
      <w:pPr>
        <w:rPr>
          <w:i/>
          <w:iCs/>
          <w:sz w:val="20"/>
          <w:szCs w:val="20"/>
          <w:lang w:val="nl-NL"/>
        </w:rPr>
      </w:pPr>
      <w:r w:rsidRPr="00FA353F">
        <w:rPr>
          <w:lang w:val="nl-NL"/>
        </w:rPr>
        <w:t xml:space="preserve">5.3 Er vinden wel eens wijzigingen plaats in een </w:t>
      </w:r>
      <w:r w:rsidR="0032382F" w:rsidRPr="00FA353F">
        <w:rPr>
          <w:lang w:val="nl-NL"/>
        </w:rPr>
        <w:t>btw-tarief</w:t>
      </w:r>
      <w:r w:rsidRPr="00FA353F">
        <w:rPr>
          <w:lang w:val="nl-NL"/>
        </w:rPr>
        <w:t xml:space="preserve"> van een product. Mocht dat gebeuren, dan treden beide partijen in overleg hoe daar mee om te gaan. </w:t>
      </w:r>
    </w:p>
    <w:p w14:paraId="71A79E9C" w14:textId="77777777" w:rsidR="00FA353F" w:rsidRPr="00FA353F" w:rsidRDefault="00FA353F" w:rsidP="00FA353F">
      <w:pPr>
        <w:rPr>
          <w:lang w:val="nl-NL"/>
        </w:rPr>
      </w:pPr>
    </w:p>
    <w:p w14:paraId="467CB424" w14:textId="72D35733" w:rsidR="00FA353F" w:rsidRPr="00FA353F" w:rsidRDefault="00FA353F" w:rsidP="00FA353F">
      <w:pPr>
        <w:pStyle w:val="Kop2"/>
        <w:ind w:left="1080" w:hanging="720"/>
        <w:rPr>
          <w:lang w:val="nl-NL"/>
        </w:rPr>
      </w:pPr>
      <w:r w:rsidRPr="00FA353F">
        <w:rPr>
          <w:lang w:val="nl-NL"/>
        </w:rPr>
        <w:t>Artikel 6</w:t>
      </w:r>
    </w:p>
    <w:p w14:paraId="57A92181" w14:textId="77777777" w:rsidR="00A4455E" w:rsidRPr="00FA353F" w:rsidRDefault="00A4455E" w:rsidP="00A4455E">
      <w:pPr>
        <w:rPr>
          <w:lang w:val="nl-NL"/>
        </w:rPr>
      </w:pPr>
      <w:r>
        <w:rPr>
          <w:lang w:val="nl-NL"/>
        </w:rPr>
        <w:t>Geen wijzigingen.</w:t>
      </w:r>
    </w:p>
    <w:p w14:paraId="2AC7FE12" w14:textId="77777777" w:rsidR="00FA353F" w:rsidRPr="00FA353F" w:rsidRDefault="00FA353F" w:rsidP="00FA353F">
      <w:pPr>
        <w:pStyle w:val="Kop2"/>
        <w:ind w:left="1080" w:hanging="720"/>
        <w:rPr>
          <w:lang w:val="nl-NL"/>
        </w:rPr>
      </w:pPr>
      <w:r w:rsidRPr="00FA353F">
        <w:rPr>
          <w:lang w:val="nl-NL"/>
        </w:rPr>
        <w:t>Artikel 7 Levering</w:t>
      </w:r>
    </w:p>
    <w:p w14:paraId="081CB779" w14:textId="0860BF77" w:rsidR="00A01BEC" w:rsidRDefault="00A01BEC" w:rsidP="00FA353F">
      <w:pPr>
        <w:rPr>
          <w:lang w:val="nl-NL"/>
        </w:rPr>
      </w:pPr>
      <w:r>
        <w:rPr>
          <w:lang w:val="nl-NL"/>
        </w:rPr>
        <w:t>7.1</w:t>
      </w:r>
      <w:r>
        <w:rPr>
          <w:lang w:val="nl-NL"/>
        </w:rPr>
        <w:tab/>
        <w:t>Ook in dit artikel is Incoterms</w:t>
      </w:r>
      <w:r w:rsidRPr="00A57EAA">
        <w:rPr>
          <w:vertAlign w:val="superscript"/>
          <w:lang w:val="nl-NL"/>
        </w:rPr>
        <w:t>©</w:t>
      </w:r>
      <w:r>
        <w:rPr>
          <w:lang w:val="nl-NL"/>
        </w:rPr>
        <w:t>2010 veranderd in die van 2020.</w:t>
      </w:r>
    </w:p>
    <w:p w14:paraId="7D522DB3" w14:textId="085B1D9D" w:rsidR="00FA353F" w:rsidRPr="00FA353F" w:rsidRDefault="00FA353F" w:rsidP="00FA353F">
      <w:pPr>
        <w:rPr>
          <w:lang w:val="nl-NL"/>
        </w:rPr>
      </w:pPr>
      <w:r w:rsidRPr="00FA353F">
        <w:rPr>
          <w:lang w:val="nl-NL"/>
        </w:rPr>
        <w:t>7.2</w:t>
      </w:r>
      <w:r w:rsidRPr="00FA353F">
        <w:rPr>
          <w:lang w:val="nl-NL"/>
        </w:rPr>
        <w:tab/>
        <w:t xml:space="preserve">Dit lid is duidelijker beschreven. </w:t>
      </w:r>
      <w:r w:rsidR="00744E82" w:rsidRPr="00744E82">
        <w:rPr>
          <w:lang w:val="nl-NL"/>
        </w:rPr>
        <w:t>Overmacht is geregeld in artikel 21. Schuldeisersverzuim is geregeld bij wet.</w:t>
      </w:r>
      <w:r w:rsidR="00744E82">
        <w:rPr>
          <w:lang w:val="nl-NL"/>
        </w:rPr>
        <w:t xml:space="preserve"> </w:t>
      </w:r>
      <w:r w:rsidRPr="00FA353F">
        <w:rPr>
          <w:lang w:val="nl-NL"/>
        </w:rPr>
        <w:t>Bij backorder is leverancier in verzuim</w:t>
      </w:r>
      <w:r w:rsidR="00744E82">
        <w:rPr>
          <w:lang w:val="nl-NL"/>
        </w:rPr>
        <w:t>, o</w:t>
      </w:r>
      <w:r w:rsidRPr="00FA353F">
        <w:rPr>
          <w:lang w:val="nl-NL"/>
        </w:rPr>
        <w:t>vermacht is dus niet van toepassing.</w:t>
      </w:r>
    </w:p>
    <w:p w14:paraId="074CD1C9" w14:textId="77777777" w:rsidR="00FA353F" w:rsidRPr="00FA353F" w:rsidRDefault="00FA353F" w:rsidP="00FA353F">
      <w:pPr>
        <w:rPr>
          <w:lang w:val="nl-NL"/>
        </w:rPr>
      </w:pPr>
      <w:r w:rsidRPr="00FA353F">
        <w:rPr>
          <w:lang w:val="nl-NL"/>
        </w:rPr>
        <w:t>7.4</w:t>
      </w:r>
      <w:r w:rsidRPr="00FA353F">
        <w:rPr>
          <w:lang w:val="nl-NL"/>
        </w:rPr>
        <w:tab/>
        <w:t>Het doel is dat geleverde artikelen bruikbaar zijn, zie ook artikel 12 over kwaliteit.</w:t>
      </w:r>
    </w:p>
    <w:p w14:paraId="35CA990F" w14:textId="77777777" w:rsidR="00FA353F" w:rsidRPr="00FA353F" w:rsidRDefault="00FA353F" w:rsidP="00FA353F">
      <w:pPr>
        <w:rPr>
          <w:lang w:val="nl-NL"/>
        </w:rPr>
      </w:pPr>
      <w:r w:rsidRPr="00FA353F">
        <w:rPr>
          <w:lang w:val="nl-NL"/>
        </w:rPr>
        <w:t>7.7</w:t>
      </w:r>
      <w:r w:rsidRPr="00FA353F">
        <w:rPr>
          <w:lang w:val="nl-NL"/>
        </w:rPr>
        <w:tab/>
        <w:t>Hier is “indien nodig geconditioneerd” toegevoegd.</w:t>
      </w:r>
    </w:p>
    <w:p w14:paraId="229646F7" w14:textId="77777777" w:rsidR="00FA353F" w:rsidRPr="00FA353F" w:rsidRDefault="00FA353F" w:rsidP="00FA353F">
      <w:pPr>
        <w:rPr>
          <w:lang w:val="nl-NL"/>
        </w:rPr>
      </w:pPr>
      <w:r w:rsidRPr="00FA353F">
        <w:rPr>
          <w:lang w:val="nl-NL"/>
        </w:rPr>
        <w:t xml:space="preserve">7.10 </w:t>
      </w:r>
      <w:r w:rsidRPr="00FA353F">
        <w:rPr>
          <w:lang w:val="nl-NL"/>
        </w:rPr>
        <w:tab/>
        <w:t>Dit lid is nieuw. Hier wordt geregeld dat Leverancier de Opdrachtgever informeert over eventuele exportvoorschriften c.q. exportlicenties.</w:t>
      </w:r>
    </w:p>
    <w:p w14:paraId="30CE15DE" w14:textId="77777777" w:rsidR="00FA353F" w:rsidRPr="00FA353F" w:rsidRDefault="00FA353F" w:rsidP="00FA353F">
      <w:pPr>
        <w:pStyle w:val="Kop2"/>
        <w:ind w:left="1080" w:hanging="720"/>
        <w:rPr>
          <w:lang w:val="nl-NL"/>
        </w:rPr>
      </w:pPr>
      <w:r w:rsidRPr="00FA353F">
        <w:rPr>
          <w:lang w:val="nl-NL"/>
        </w:rPr>
        <w:t>Artikel 8 Verpakking en zending</w:t>
      </w:r>
    </w:p>
    <w:p w14:paraId="73598A76" w14:textId="569562D5" w:rsidR="00FA353F" w:rsidRPr="00FA353F" w:rsidRDefault="00FA353F" w:rsidP="00FA353F">
      <w:pPr>
        <w:rPr>
          <w:lang w:val="nl-NL"/>
        </w:rPr>
      </w:pPr>
      <w:r w:rsidRPr="00FA353F">
        <w:rPr>
          <w:lang w:val="nl-NL"/>
        </w:rPr>
        <w:t xml:space="preserve">8.5 </w:t>
      </w:r>
      <w:r w:rsidRPr="00FA353F">
        <w:rPr>
          <w:lang w:val="nl-NL"/>
        </w:rPr>
        <w:tab/>
        <w:t xml:space="preserve">De bepaling loopt voor op wetgeving die zich de aankomende jaren zal ontwikkelen. De verwachting is dat deze inspanningsverplichting zal resulteren in een resultaatsverplichting. De VDSMH is de Vereniging van Deskundigen Steriele Medische Hulpmiddelen in Nederlandse Ziekenhuizen. Zie </w:t>
      </w:r>
      <w:r w:rsidR="000A298A">
        <w:fldChar w:fldCharType="begin"/>
      </w:r>
      <w:r w:rsidR="000A298A" w:rsidRPr="000A298A">
        <w:rPr>
          <w:lang w:val="nl-NL"/>
        </w:rPr>
        <w:instrText xml:space="preserve"> HYPERLINK "https://www.vdsmh.nl/over-ons" </w:instrText>
      </w:r>
      <w:r w:rsidR="000A298A">
        <w:fldChar w:fldCharType="separate"/>
      </w:r>
      <w:r w:rsidR="00A57EAA" w:rsidRPr="007A28DB">
        <w:rPr>
          <w:rStyle w:val="Hyperlink"/>
          <w:lang w:val="nl-NL"/>
        </w:rPr>
        <w:t>https://www.vdsmh.nl/over-ons</w:t>
      </w:r>
      <w:r w:rsidR="000A298A">
        <w:rPr>
          <w:rStyle w:val="Hyperlink"/>
          <w:lang w:val="nl-NL"/>
        </w:rPr>
        <w:fldChar w:fldCharType="end"/>
      </w:r>
      <w:r w:rsidR="00A57EAA">
        <w:rPr>
          <w:lang w:val="nl-NL"/>
        </w:rPr>
        <w:t xml:space="preserve"> </w:t>
      </w:r>
    </w:p>
    <w:p w14:paraId="24D4777F" w14:textId="77777777" w:rsidR="00FA353F" w:rsidRPr="00FA353F" w:rsidRDefault="00FA353F" w:rsidP="00FA353F">
      <w:pPr>
        <w:pStyle w:val="Kop2"/>
        <w:ind w:left="1080" w:hanging="720"/>
        <w:rPr>
          <w:lang w:val="nl-NL"/>
        </w:rPr>
      </w:pPr>
      <w:r w:rsidRPr="00FA353F">
        <w:rPr>
          <w:lang w:val="nl-NL"/>
        </w:rPr>
        <w:t xml:space="preserve">Artikel 9 Eigendom </w:t>
      </w:r>
    </w:p>
    <w:p w14:paraId="4032845F" w14:textId="760CF5B5" w:rsidR="00FA353F" w:rsidRDefault="00FA353F" w:rsidP="00FA353F">
      <w:pPr>
        <w:rPr>
          <w:lang w:val="nl-NL"/>
        </w:rPr>
      </w:pPr>
      <w:r w:rsidRPr="00FA353F">
        <w:rPr>
          <w:lang w:val="nl-NL"/>
        </w:rPr>
        <w:t xml:space="preserve">In de AIVG wordt het Product slechts eigendom van </w:t>
      </w:r>
      <w:r w:rsidR="00D27FCA">
        <w:rPr>
          <w:lang w:val="nl-NL"/>
        </w:rPr>
        <w:t>Opdrachtgever</w:t>
      </w:r>
      <w:r w:rsidR="00D27FCA" w:rsidRPr="00FA353F">
        <w:rPr>
          <w:lang w:val="nl-NL"/>
        </w:rPr>
        <w:t xml:space="preserve"> </w:t>
      </w:r>
      <w:r w:rsidRPr="00FA353F">
        <w:rPr>
          <w:lang w:val="nl-NL"/>
        </w:rPr>
        <w:t>na volledige betaling, dit in tegenstelling van de AIV van de NFU waarbij het eigendom overgaat bij levering of goedkeuring / acceptatieprocedure.</w:t>
      </w:r>
    </w:p>
    <w:p w14:paraId="21949CF3" w14:textId="5D75D5C8" w:rsidR="00DE08CD" w:rsidRPr="009213B8" w:rsidRDefault="006E49A6" w:rsidP="009213B8">
      <w:pPr>
        <w:pStyle w:val="Kop2"/>
        <w:ind w:left="1080" w:hanging="720"/>
        <w:rPr>
          <w:lang w:val="nl-NL"/>
        </w:rPr>
      </w:pPr>
      <w:r w:rsidRPr="009213B8">
        <w:rPr>
          <w:lang w:val="nl-NL"/>
        </w:rPr>
        <w:t xml:space="preserve">Artikel </w:t>
      </w:r>
      <w:r w:rsidR="009213B8" w:rsidRPr="00C06F57">
        <w:rPr>
          <w:lang w:val="nl-NL"/>
        </w:rPr>
        <w:t>10 Hulpmaterialen</w:t>
      </w:r>
    </w:p>
    <w:p w14:paraId="41D02444" w14:textId="04621C4F" w:rsidR="00DE08CD" w:rsidRDefault="000363BC" w:rsidP="00FA353F">
      <w:pPr>
        <w:rPr>
          <w:lang w:val="nl-NL"/>
        </w:rPr>
      </w:pPr>
      <w:r>
        <w:rPr>
          <w:lang w:val="nl-NL"/>
        </w:rPr>
        <w:t>10.1</w:t>
      </w:r>
      <w:r>
        <w:rPr>
          <w:lang w:val="nl-NL"/>
        </w:rPr>
        <w:tab/>
      </w:r>
      <w:r w:rsidR="00C31104">
        <w:rPr>
          <w:lang w:val="nl-NL"/>
        </w:rPr>
        <w:t xml:space="preserve">De termen </w:t>
      </w:r>
      <w:r w:rsidR="00155AC5">
        <w:rPr>
          <w:lang w:val="nl-NL"/>
        </w:rPr>
        <w:t xml:space="preserve">Hulpmaterialen en Documentatie zijn </w:t>
      </w:r>
      <w:r w:rsidR="00B3090B">
        <w:rPr>
          <w:lang w:val="nl-NL"/>
        </w:rPr>
        <w:t>opgenomen in de definitie lijst.</w:t>
      </w:r>
      <w:r w:rsidR="00A062F4">
        <w:rPr>
          <w:lang w:val="nl-NL"/>
        </w:rPr>
        <w:t xml:space="preserve"> Er is een passage toegevoegd over de intellectuele eigendomsrechten van de Hulpmaterialen, om te voorkomen dat er </w:t>
      </w:r>
      <w:r w:rsidR="009A6D0E">
        <w:rPr>
          <w:lang w:val="nl-NL"/>
        </w:rPr>
        <w:t>dispuut ontstaat over deze rechten hiervoor.</w:t>
      </w:r>
    </w:p>
    <w:p w14:paraId="0EE5E43A" w14:textId="3A127AF2" w:rsidR="00DE08CD" w:rsidRDefault="005F1AD1" w:rsidP="00FA353F">
      <w:pPr>
        <w:rPr>
          <w:lang w:val="nl-NL"/>
        </w:rPr>
      </w:pPr>
      <w:r>
        <w:rPr>
          <w:lang w:val="nl-NL"/>
        </w:rPr>
        <w:t xml:space="preserve">10.4 </w:t>
      </w:r>
      <w:r>
        <w:rPr>
          <w:lang w:val="nl-NL"/>
        </w:rPr>
        <w:tab/>
        <w:t>Dit artikel is toegevoegd</w:t>
      </w:r>
      <w:r w:rsidR="004E61AE">
        <w:rPr>
          <w:lang w:val="nl-NL"/>
        </w:rPr>
        <w:t xml:space="preserve"> </w:t>
      </w:r>
      <w:r w:rsidR="00A333E5">
        <w:rPr>
          <w:lang w:val="nl-NL"/>
        </w:rPr>
        <w:t xml:space="preserve">om </w:t>
      </w:r>
      <w:r w:rsidR="004372C2">
        <w:rPr>
          <w:lang w:val="nl-NL"/>
        </w:rPr>
        <w:t xml:space="preserve">onvolledige leveringen van Hulpmaterialen en Documentatie te voorkomen. </w:t>
      </w:r>
    </w:p>
    <w:p w14:paraId="3477F030" w14:textId="17250576" w:rsidR="00DE08CD" w:rsidRDefault="00232B13" w:rsidP="00232B13">
      <w:pPr>
        <w:pStyle w:val="Kop2"/>
        <w:ind w:left="1080" w:hanging="720"/>
        <w:rPr>
          <w:lang w:val="nl-NL"/>
        </w:rPr>
      </w:pPr>
      <w:r>
        <w:rPr>
          <w:lang w:val="nl-NL"/>
        </w:rPr>
        <w:t>Artikel 11</w:t>
      </w:r>
      <w:r w:rsidR="00315A72" w:rsidRPr="00315A72">
        <w:rPr>
          <w:lang w:val="nl-NL"/>
        </w:rPr>
        <w:t xml:space="preserve"> Facturering en betaling</w:t>
      </w:r>
    </w:p>
    <w:p w14:paraId="0D2C6EAC" w14:textId="0762825E" w:rsidR="00BF16C9" w:rsidRDefault="00BF16C9" w:rsidP="00BF16C9">
      <w:pPr>
        <w:pStyle w:val="Geenafstand"/>
      </w:pPr>
      <w:r>
        <w:t xml:space="preserve">11.3 </w:t>
      </w:r>
      <w:r>
        <w:rPr>
          <w:i/>
          <w:iCs/>
        </w:rPr>
        <w:t>voorlopig niet wordt betaald</w:t>
      </w:r>
      <w:r>
        <w:t xml:space="preserve"> is veranderd in </w:t>
      </w:r>
      <w:r>
        <w:rPr>
          <w:i/>
          <w:iCs/>
        </w:rPr>
        <w:t>vooralsnog niet wordt betaald</w:t>
      </w:r>
      <w:r>
        <w:t>. Hieruit blijkt duidelijker dat betaling plaats vindt zodra de factuur voldoet.</w:t>
      </w:r>
      <w:r>
        <w:br/>
      </w:r>
      <w:r>
        <w:br/>
        <w:t>11.5 Indien de Opdrachtgever de betaling op wil schorten dan is toegevoegd dat De Opdrachtgever de Leverancier zo spoedig mogelijk en Schriftelijk van dit voornemen en de reden(en) daarvan op de hoogte moet stellen.</w:t>
      </w:r>
    </w:p>
    <w:p w14:paraId="7C9E7966" w14:textId="6DBAAF18" w:rsidR="00BF16C9" w:rsidRPr="00A57EAA" w:rsidRDefault="00BF16C9" w:rsidP="00BF16C9">
      <w:pPr>
        <w:rPr>
          <w:lang w:val="nl-NL"/>
        </w:rPr>
      </w:pPr>
      <w:r w:rsidRPr="00A57EAA">
        <w:rPr>
          <w:lang w:val="nl-NL"/>
        </w:rPr>
        <w:lastRenderedPageBreak/>
        <w:br/>
        <w:t>11.</w:t>
      </w:r>
      <w:r w:rsidR="00EA434B">
        <w:rPr>
          <w:lang w:val="nl-NL"/>
        </w:rPr>
        <w:t>7</w:t>
      </w:r>
      <w:r w:rsidRPr="00A57EAA">
        <w:rPr>
          <w:lang w:val="nl-NL"/>
        </w:rPr>
        <w:t xml:space="preserve"> Verplichting is veranderd in verplichtingen</w:t>
      </w:r>
    </w:p>
    <w:p w14:paraId="66A431BE" w14:textId="77777777" w:rsidR="00BF16C9" w:rsidRDefault="00BF16C9" w:rsidP="00BF16C9">
      <w:pPr>
        <w:pStyle w:val="Geenafstand"/>
      </w:pPr>
      <w:r>
        <w:t>11.9 . Er toegevoegd dat bij het verrekenen van verschuldigde bedragen de Opdrachtgever dit Schriftelijk vooraf aan Leverancier zal meedelen waarbij zij een overzicht van de te verrekenen bedragen aan Leverancier verstrekt.</w:t>
      </w:r>
    </w:p>
    <w:p w14:paraId="05DA6654" w14:textId="358A9165" w:rsidR="00BF16C9" w:rsidRDefault="00424841" w:rsidP="00315A72">
      <w:pPr>
        <w:rPr>
          <w:lang w:val="nl-NL"/>
        </w:rPr>
      </w:pPr>
      <w:r>
        <w:rPr>
          <w:lang w:val="nl-NL"/>
        </w:rPr>
        <w:t xml:space="preserve"> </w:t>
      </w:r>
    </w:p>
    <w:p w14:paraId="0553821B" w14:textId="5F49E584" w:rsidR="004516C0" w:rsidRDefault="00B51F82" w:rsidP="00315A72">
      <w:pPr>
        <w:rPr>
          <w:lang w:val="nl-NL"/>
        </w:rPr>
      </w:pPr>
      <w:r>
        <w:rPr>
          <w:lang w:val="nl-NL"/>
        </w:rPr>
        <w:t>Artikel 11.</w:t>
      </w:r>
      <w:r w:rsidR="00B45688">
        <w:rPr>
          <w:lang w:val="nl-NL"/>
        </w:rPr>
        <w:t xml:space="preserve">10 </w:t>
      </w:r>
      <w:r>
        <w:rPr>
          <w:lang w:val="nl-NL"/>
        </w:rPr>
        <w:t xml:space="preserve">is verwijderd, </w:t>
      </w:r>
      <w:r w:rsidR="00A81F6A">
        <w:rPr>
          <w:lang w:val="nl-NL"/>
        </w:rPr>
        <w:t xml:space="preserve">de algemene wetgeving geldt bij niet tijdig betalen van facturen. Dit </w:t>
      </w:r>
      <w:r w:rsidR="00B8060C">
        <w:rPr>
          <w:lang w:val="nl-NL"/>
        </w:rPr>
        <w:t>geldt ook voor de</w:t>
      </w:r>
      <w:r w:rsidR="00A81F6A">
        <w:rPr>
          <w:lang w:val="nl-NL"/>
        </w:rPr>
        <w:t xml:space="preserve"> betalingstermijnen</w:t>
      </w:r>
      <w:r w:rsidR="00C040F4">
        <w:rPr>
          <w:lang w:val="nl-NL"/>
        </w:rPr>
        <w:t>.</w:t>
      </w:r>
    </w:p>
    <w:p w14:paraId="139C04A6" w14:textId="56D6A8C6" w:rsidR="00315A72" w:rsidRDefault="009449E0" w:rsidP="009449E0">
      <w:pPr>
        <w:pStyle w:val="Kop2"/>
        <w:ind w:left="1080" w:hanging="720"/>
        <w:rPr>
          <w:lang w:val="nl-NL"/>
        </w:rPr>
      </w:pPr>
      <w:r w:rsidRPr="009449E0">
        <w:rPr>
          <w:lang w:val="nl-NL"/>
        </w:rPr>
        <w:t>Artikel 12 Kwaliteit en garantie</w:t>
      </w:r>
    </w:p>
    <w:p w14:paraId="468E69C9" w14:textId="30F6E91F" w:rsidR="000459E7" w:rsidRPr="000459E7" w:rsidRDefault="000459E7" w:rsidP="000459E7">
      <w:pPr>
        <w:rPr>
          <w:lang w:val="nl-NL"/>
        </w:rPr>
      </w:pPr>
      <w:r w:rsidRPr="000459E7">
        <w:rPr>
          <w:lang w:val="nl-NL"/>
        </w:rPr>
        <w:t xml:space="preserve">12.1  </w:t>
      </w:r>
      <w:r w:rsidR="00C81961">
        <w:rPr>
          <w:lang w:val="nl-NL"/>
        </w:rPr>
        <w:t>“</w:t>
      </w:r>
      <w:r w:rsidRPr="000459E7">
        <w:rPr>
          <w:lang w:val="nl-NL"/>
        </w:rPr>
        <w:t>Leverancier staat er voor in dat de geleverde Prestatie ten tijde van de levering</w:t>
      </w:r>
      <w:r w:rsidR="00C81961">
        <w:rPr>
          <w:lang w:val="nl-NL"/>
        </w:rPr>
        <w:t>”</w:t>
      </w:r>
      <w:r w:rsidRPr="000459E7">
        <w:rPr>
          <w:lang w:val="nl-NL"/>
        </w:rPr>
        <w:t xml:space="preserve"> is </w:t>
      </w:r>
      <w:r w:rsidR="00C81961">
        <w:rPr>
          <w:lang w:val="nl-NL"/>
        </w:rPr>
        <w:t>gewijzigd</w:t>
      </w:r>
    </w:p>
    <w:p w14:paraId="3B11D10B" w14:textId="77777777" w:rsidR="000459E7" w:rsidRPr="000459E7" w:rsidRDefault="000459E7" w:rsidP="000459E7">
      <w:pPr>
        <w:rPr>
          <w:lang w:val="nl-NL"/>
        </w:rPr>
      </w:pPr>
      <w:r w:rsidRPr="000459E7">
        <w:rPr>
          <w:lang w:val="nl-NL"/>
        </w:rPr>
        <w:t>•</w:t>
      </w:r>
      <w:r w:rsidRPr="000459E7">
        <w:rPr>
          <w:lang w:val="nl-NL"/>
        </w:rPr>
        <w:tab/>
        <w:t>In de 2017 AIVG was opgenomen dat het geleverde product moest voldoen aan de hoogste eisen van de binnen de branche gehanteerde veiligheids- en kwaliteitsnormen en/of certificering. Deze criteria zijn echter geheel afhankelijk van de eisen bij aanschaf. Het artikel is aangepast in: voldoet aan de binnen de branche gehanteerde veiligheids- en kwaliteitsnormen en/of certificering;</w:t>
      </w:r>
    </w:p>
    <w:p w14:paraId="0BDA7355" w14:textId="77777777" w:rsidR="000459E7" w:rsidRPr="000459E7" w:rsidRDefault="000459E7" w:rsidP="000459E7">
      <w:pPr>
        <w:rPr>
          <w:lang w:val="nl-NL"/>
        </w:rPr>
      </w:pPr>
      <w:r w:rsidRPr="000459E7">
        <w:rPr>
          <w:lang w:val="nl-NL"/>
        </w:rPr>
        <w:t>•</w:t>
      </w:r>
      <w:r w:rsidRPr="000459E7">
        <w:rPr>
          <w:lang w:val="nl-NL"/>
        </w:rPr>
        <w:tab/>
        <w:t>Er is toegevoegd dat de levering onbezwaard is en vrij is van beslagen.</w:t>
      </w:r>
    </w:p>
    <w:p w14:paraId="1F714C8E" w14:textId="77777777" w:rsidR="000459E7" w:rsidRPr="000459E7" w:rsidRDefault="000459E7" w:rsidP="000459E7">
      <w:pPr>
        <w:rPr>
          <w:lang w:val="nl-NL"/>
        </w:rPr>
      </w:pPr>
      <w:r w:rsidRPr="000459E7">
        <w:rPr>
          <w:lang w:val="nl-NL"/>
        </w:rPr>
        <w:t xml:space="preserve">12.2 Er is toegevoegd dat de Leverancier de Opdrachtgever moet informeren zodra intern is vastgesteld dat er een Safety Notification of een </w:t>
      </w:r>
      <w:proofErr w:type="spellStart"/>
      <w:r w:rsidRPr="000459E7">
        <w:rPr>
          <w:lang w:val="nl-NL"/>
        </w:rPr>
        <w:t>Recall</w:t>
      </w:r>
      <w:proofErr w:type="spellEnd"/>
      <w:r w:rsidRPr="000459E7">
        <w:rPr>
          <w:lang w:val="nl-NL"/>
        </w:rPr>
        <w:t xml:space="preserve"> is gedefinieerd. Er is tevens toegevoegd dat Leverancier er voor dient te zorgen dat er een adequate en zorgvuldige interne procedure bestaat voor de Safety Notification of een </w:t>
      </w:r>
      <w:proofErr w:type="spellStart"/>
      <w:r w:rsidRPr="000459E7">
        <w:rPr>
          <w:lang w:val="nl-NL"/>
        </w:rPr>
        <w:t>Recall</w:t>
      </w:r>
      <w:proofErr w:type="spellEnd"/>
      <w:r w:rsidRPr="000459E7">
        <w:rPr>
          <w:lang w:val="nl-NL"/>
        </w:rPr>
        <w:t>, die gedeeld wordt met Opdrachtgever.</w:t>
      </w:r>
    </w:p>
    <w:p w14:paraId="1C26D6F8" w14:textId="30ED4E58" w:rsidR="005052CA" w:rsidRPr="000459E7" w:rsidRDefault="005052CA" w:rsidP="005052CA">
      <w:pPr>
        <w:rPr>
          <w:lang w:val="nl-NL"/>
        </w:rPr>
      </w:pPr>
      <w:r w:rsidRPr="000459E7">
        <w:rPr>
          <w:lang w:val="nl-NL"/>
        </w:rPr>
        <w:t>12.</w:t>
      </w:r>
      <w:r>
        <w:rPr>
          <w:lang w:val="nl-NL"/>
        </w:rPr>
        <w:t>3</w:t>
      </w:r>
      <w:r>
        <w:rPr>
          <w:lang w:val="nl-NL"/>
        </w:rPr>
        <w:tab/>
        <w:t>Bij een incident is de gezondheid van een medewerker en/of een client in het geding of kan in het geding komen</w:t>
      </w:r>
      <w:r w:rsidRPr="000459E7">
        <w:rPr>
          <w:lang w:val="nl-NL"/>
        </w:rPr>
        <w:t>.</w:t>
      </w:r>
      <w:r>
        <w:rPr>
          <w:lang w:val="nl-NL"/>
        </w:rPr>
        <w:t xml:space="preserve"> Een klacht is geen incident.</w:t>
      </w:r>
    </w:p>
    <w:p w14:paraId="0F269F89" w14:textId="39EDFA4E" w:rsidR="000459E7" w:rsidRPr="000459E7" w:rsidRDefault="000459E7" w:rsidP="000459E7">
      <w:pPr>
        <w:rPr>
          <w:lang w:val="nl-NL"/>
        </w:rPr>
      </w:pPr>
      <w:r w:rsidRPr="000459E7">
        <w:rPr>
          <w:lang w:val="nl-NL"/>
        </w:rPr>
        <w:t>12.</w:t>
      </w:r>
      <w:r w:rsidR="005052CA">
        <w:rPr>
          <w:lang w:val="nl-NL"/>
        </w:rPr>
        <w:t>4</w:t>
      </w:r>
      <w:r w:rsidRPr="000459E7">
        <w:rPr>
          <w:lang w:val="nl-NL"/>
        </w:rPr>
        <w:t xml:space="preserve"> Om meer duidelijkheid te geven over de kosten bij een Safety Notification of een </w:t>
      </w:r>
      <w:proofErr w:type="spellStart"/>
      <w:r w:rsidRPr="000459E7">
        <w:rPr>
          <w:lang w:val="nl-NL"/>
        </w:rPr>
        <w:t>Recall</w:t>
      </w:r>
      <w:proofErr w:type="spellEnd"/>
      <w:r w:rsidRPr="000459E7">
        <w:rPr>
          <w:lang w:val="nl-NL"/>
        </w:rPr>
        <w:t xml:space="preserve">  is opgenomen dat de gespecificeerde directe kosten die voortvloeien uit de Safety Notification of een </w:t>
      </w:r>
      <w:proofErr w:type="spellStart"/>
      <w:r w:rsidRPr="000459E7">
        <w:rPr>
          <w:lang w:val="nl-NL"/>
        </w:rPr>
        <w:t>Recall</w:t>
      </w:r>
      <w:proofErr w:type="spellEnd"/>
      <w:r w:rsidRPr="000459E7">
        <w:rPr>
          <w:lang w:val="nl-NL"/>
        </w:rPr>
        <w:t xml:space="preserve"> in aanmerking voor vergoeding kunnen komen. </w:t>
      </w:r>
    </w:p>
    <w:p w14:paraId="6CB21ECD" w14:textId="166201CF" w:rsidR="000459E7" w:rsidRPr="000459E7" w:rsidRDefault="000459E7" w:rsidP="000459E7">
      <w:pPr>
        <w:rPr>
          <w:lang w:val="nl-NL"/>
        </w:rPr>
      </w:pPr>
      <w:r w:rsidRPr="000459E7">
        <w:rPr>
          <w:lang w:val="nl-NL"/>
        </w:rPr>
        <w:t>12.</w:t>
      </w:r>
      <w:r w:rsidR="005052CA">
        <w:rPr>
          <w:lang w:val="nl-NL"/>
        </w:rPr>
        <w:t>5</w:t>
      </w:r>
      <w:r w:rsidRPr="000459E7">
        <w:rPr>
          <w:lang w:val="nl-NL"/>
        </w:rPr>
        <w:tab/>
        <w:t>Er is opgenomen dat garantiecertificaten van derden/toeleveranciers ook van toepassing zijn.</w:t>
      </w:r>
    </w:p>
    <w:p w14:paraId="407B0B32" w14:textId="4D1F3286" w:rsidR="009449E0" w:rsidRPr="009449E0" w:rsidRDefault="000523FE" w:rsidP="000523FE">
      <w:pPr>
        <w:pStyle w:val="Kop2"/>
        <w:ind w:left="1080" w:hanging="720"/>
        <w:rPr>
          <w:lang w:val="nl-NL"/>
        </w:rPr>
      </w:pPr>
      <w:r w:rsidRPr="000523FE">
        <w:rPr>
          <w:lang w:val="nl-NL"/>
        </w:rPr>
        <w:t>Artikel 13 Documentatie</w:t>
      </w:r>
    </w:p>
    <w:p w14:paraId="11F11777" w14:textId="459BA4C3" w:rsidR="00062C09" w:rsidRDefault="000265A9" w:rsidP="00FA353F">
      <w:pPr>
        <w:rPr>
          <w:lang w:val="nl-NL"/>
        </w:rPr>
      </w:pPr>
      <w:r w:rsidRPr="00A57EAA">
        <w:rPr>
          <w:lang w:val="nl-NL"/>
        </w:rPr>
        <w:t>13.1 Het is niet altijd mogelijk om Documentatie in de Nederlandse taal te leveren. De mogelijkheid voor levering in Engelse taal is ook opgenomen.</w:t>
      </w:r>
    </w:p>
    <w:p w14:paraId="3DF02230" w14:textId="2A7C862B" w:rsidR="000523FE" w:rsidRDefault="009E5A81" w:rsidP="009E5A81">
      <w:pPr>
        <w:pStyle w:val="Kop2"/>
        <w:ind w:left="1080" w:hanging="720"/>
        <w:rPr>
          <w:lang w:val="nl-NL"/>
        </w:rPr>
      </w:pPr>
      <w:r w:rsidRPr="009E5A81">
        <w:rPr>
          <w:lang w:val="nl-NL"/>
        </w:rPr>
        <w:t>Artikel 14 (Reserve-) Onderdelen</w:t>
      </w:r>
    </w:p>
    <w:p w14:paraId="197E567A" w14:textId="77777777" w:rsidR="00A96157" w:rsidRPr="00A96157" w:rsidRDefault="00A96157" w:rsidP="00A96157">
      <w:pPr>
        <w:rPr>
          <w:lang w:val="nl-NL"/>
        </w:rPr>
      </w:pPr>
      <w:r w:rsidRPr="00A96157">
        <w:rPr>
          <w:lang w:val="nl-NL"/>
        </w:rPr>
        <w:t>Omdat dit artikel nu ook over reserveonderdelen gaat is (Reserve -) in de kop van het artikel opgenomen</w:t>
      </w:r>
    </w:p>
    <w:p w14:paraId="03720C5F" w14:textId="4EF4A071" w:rsidR="00A96157" w:rsidRPr="00A96157" w:rsidRDefault="00A96157" w:rsidP="00A96157">
      <w:pPr>
        <w:rPr>
          <w:lang w:val="nl-NL"/>
        </w:rPr>
      </w:pPr>
      <w:r w:rsidRPr="00A96157">
        <w:rPr>
          <w:lang w:val="nl-NL"/>
        </w:rPr>
        <w:t>14.1  onderdelen, waaronder reserve- en verbruiksonderdelen is veranderd in voldoende Onderdelen en Reserveonderdelen</w:t>
      </w:r>
      <w:r w:rsidR="000C574F">
        <w:rPr>
          <w:lang w:val="nl-NL"/>
        </w:rPr>
        <w:t xml:space="preserve">. </w:t>
      </w:r>
      <w:r w:rsidR="00CC7B79">
        <w:rPr>
          <w:lang w:val="nl-NL"/>
        </w:rPr>
        <w:t>Het woord</w:t>
      </w:r>
      <w:r w:rsidR="000C574F">
        <w:rPr>
          <w:lang w:val="nl-NL"/>
        </w:rPr>
        <w:t xml:space="preserve"> </w:t>
      </w:r>
      <w:r w:rsidR="00CC7B79">
        <w:rPr>
          <w:lang w:val="nl-NL"/>
        </w:rPr>
        <w:t>‘</w:t>
      </w:r>
      <w:r w:rsidR="000C574F">
        <w:rPr>
          <w:lang w:val="nl-NL"/>
        </w:rPr>
        <w:t>voorraad</w:t>
      </w:r>
      <w:r w:rsidR="00CC7B79">
        <w:rPr>
          <w:lang w:val="nl-NL"/>
        </w:rPr>
        <w:t>’</w:t>
      </w:r>
      <w:r w:rsidR="000C574F">
        <w:rPr>
          <w:lang w:val="nl-NL"/>
        </w:rPr>
        <w:t xml:space="preserve"> is vervangen door </w:t>
      </w:r>
      <w:r w:rsidR="00CC7B79">
        <w:rPr>
          <w:lang w:val="nl-NL"/>
        </w:rPr>
        <w:t>‘beschikbaar’.</w:t>
      </w:r>
    </w:p>
    <w:p w14:paraId="4CFFD00D" w14:textId="77777777" w:rsidR="00A96157" w:rsidRPr="00A96157" w:rsidRDefault="00A96157" w:rsidP="00A96157">
      <w:pPr>
        <w:rPr>
          <w:lang w:val="nl-NL"/>
        </w:rPr>
      </w:pPr>
      <w:r w:rsidRPr="00A96157">
        <w:rPr>
          <w:lang w:val="nl-NL"/>
        </w:rPr>
        <w:t>14.2 Voor de duidelijkheid is de prijs tijdens levering van het Product veranderd in van de overeengekomen prijs voor de eerste levering van het Product. Voor indexering van prijzen is een verwijzing naar artikel 5.1 Prijzen toegevoegd.</w:t>
      </w:r>
    </w:p>
    <w:p w14:paraId="222C5DE2" w14:textId="77777777" w:rsidR="00A96157" w:rsidRPr="00A96157" w:rsidRDefault="00A96157" w:rsidP="00A96157">
      <w:pPr>
        <w:rPr>
          <w:lang w:val="nl-NL"/>
        </w:rPr>
      </w:pPr>
      <w:r w:rsidRPr="00A96157">
        <w:rPr>
          <w:lang w:val="nl-NL"/>
        </w:rPr>
        <w:lastRenderedPageBreak/>
        <w:t xml:space="preserve">Artikel 14.3 is toegevoegd vanuit de NFU voorwaarden. </w:t>
      </w:r>
    </w:p>
    <w:p w14:paraId="51C6814D" w14:textId="0B5A20E2" w:rsidR="0076515E" w:rsidRDefault="00A96157" w:rsidP="009E5A81">
      <w:pPr>
        <w:rPr>
          <w:lang w:val="nl-NL"/>
        </w:rPr>
      </w:pPr>
      <w:r w:rsidRPr="00A96157">
        <w:rPr>
          <w:lang w:val="nl-NL"/>
        </w:rPr>
        <w:t>14.3.</w:t>
      </w:r>
      <w:r w:rsidRPr="00A96157">
        <w:rPr>
          <w:lang w:val="nl-NL"/>
        </w:rPr>
        <w:tab/>
        <w:t>De Leverancier verplicht zich om bij dreigende stagnatie van de mogelijkheid tot nalevering van originele Reserveonderdelen van het geleverde Product, Opdrachtgever onverwijld hiervan in kennis te stellen. Leverancier zal tevens alle maatregelen treffen, om gelijkwaardige alternatieven aan te bieden waarvan de prijs niet hoger kan zijn dan de prijs van de originele Reserveonderdelen (zoals vastgelegd in de prijslijst).</w:t>
      </w:r>
      <w:r w:rsidR="00F606EC">
        <w:rPr>
          <w:lang w:val="nl-NL"/>
        </w:rPr>
        <w:t xml:space="preserve"> </w:t>
      </w:r>
    </w:p>
    <w:p w14:paraId="3C94C2CA" w14:textId="23973C2C" w:rsidR="009E5A81" w:rsidRDefault="00AD1D9B" w:rsidP="00AD1D9B">
      <w:pPr>
        <w:pStyle w:val="Kop2"/>
        <w:ind w:left="1080" w:hanging="720"/>
        <w:rPr>
          <w:lang w:val="nl-NL"/>
        </w:rPr>
      </w:pPr>
      <w:r w:rsidRPr="00AD1D9B">
        <w:rPr>
          <w:lang w:val="nl-NL"/>
        </w:rPr>
        <w:t>Artikel 15 Ingebruikname Producten</w:t>
      </w:r>
    </w:p>
    <w:p w14:paraId="1F862736" w14:textId="77777777" w:rsidR="00F45D3E" w:rsidRPr="00F45D3E" w:rsidRDefault="00F45D3E" w:rsidP="00F45D3E">
      <w:pPr>
        <w:rPr>
          <w:lang w:val="nl-NL"/>
        </w:rPr>
      </w:pPr>
      <w:r w:rsidRPr="00F45D3E">
        <w:rPr>
          <w:lang w:val="nl-NL"/>
        </w:rPr>
        <w:t>Ingebruikname is in de kop van dit artikel toegevoegd</w:t>
      </w:r>
    </w:p>
    <w:p w14:paraId="6D2779A5" w14:textId="37D44DFD" w:rsidR="00F45D3E" w:rsidRPr="00F45D3E" w:rsidRDefault="00F45D3E" w:rsidP="00F45D3E">
      <w:pPr>
        <w:rPr>
          <w:lang w:val="nl-NL"/>
        </w:rPr>
      </w:pPr>
      <w:r w:rsidRPr="00F45D3E">
        <w:rPr>
          <w:lang w:val="nl-NL"/>
        </w:rPr>
        <w:t xml:space="preserve">15.1 Om het artikel in te korten en te verduidelijken is de tekst “de noodzakelijke verbouwingen, aanleg van leidingen, wanden, installaties)” veranderd in </w:t>
      </w:r>
      <w:r w:rsidR="00914116">
        <w:rPr>
          <w:lang w:val="nl-NL"/>
        </w:rPr>
        <w:t>”i</w:t>
      </w:r>
      <w:r w:rsidRPr="00F45D3E">
        <w:rPr>
          <w:lang w:val="nl-NL"/>
        </w:rPr>
        <w:t>nstallatietechnische maatregelen</w:t>
      </w:r>
      <w:r w:rsidR="00914116">
        <w:rPr>
          <w:lang w:val="nl-NL"/>
        </w:rPr>
        <w:t>”.</w:t>
      </w:r>
    </w:p>
    <w:p w14:paraId="2F3A8143" w14:textId="77777777" w:rsidR="00F45D3E" w:rsidRPr="00F45D3E" w:rsidRDefault="00F45D3E" w:rsidP="00F45D3E">
      <w:pPr>
        <w:rPr>
          <w:lang w:val="nl-NL"/>
        </w:rPr>
      </w:pPr>
      <w:r w:rsidRPr="00F45D3E">
        <w:rPr>
          <w:lang w:val="nl-NL"/>
        </w:rPr>
        <w:t>15.2 Om aan te geven dat er geen sprake is van verplichte afname van verbruiksmaterialen en re-</w:t>
      </w:r>
      <w:proofErr w:type="spellStart"/>
      <w:r w:rsidRPr="00F45D3E">
        <w:rPr>
          <w:lang w:val="nl-NL"/>
        </w:rPr>
        <w:t>usables</w:t>
      </w:r>
      <w:proofErr w:type="spellEnd"/>
      <w:r w:rsidRPr="00F45D3E">
        <w:rPr>
          <w:lang w:val="nl-NL"/>
        </w:rPr>
        <w:t xml:space="preserve"> is toegevoegd “zonder afnameverplichting”</w:t>
      </w:r>
    </w:p>
    <w:p w14:paraId="727DA83A" w14:textId="3E036B85" w:rsidR="00F45D3E" w:rsidRPr="00F45D3E" w:rsidRDefault="00F45D3E" w:rsidP="00F45D3E">
      <w:pPr>
        <w:rPr>
          <w:lang w:val="nl-NL"/>
        </w:rPr>
      </w:pPr>
      <w:r w:rsidRPr="00F45D3E">
        <w:rPr>
          <w:lang w:val="nl-NL"/>
        </w:rPr>
        <w:t xml:space="preserve">15.3 Omdat gebruikersinstructies op verschillende manieren plaats kunnen vinden is </w:t>
      </w:r>
      <w:r w:rsidR="008372B2">
        <w:rPr>
          <w:lang w:val="nl-NL"/>
        </w:rPr>
        <w:t>“</w:t>
      </w:r>
      <w:r w:rsidRPr="00F45D3E">
        <w:rPr>
          <w:lang w:val="nl-NL"/>
        </w:rPr>
        <w:t>mondeling</w:t>
      </w:r>
      <w:r w:rsidR="008372B2">
        <w:rPr>
          <w:lang w:val="nl-NL"/>
        </w:rPr>
        <w:t>”</w:t>
      </w:r>
      <w:r w:rsidRPr="00F45D3E">
        <w:rPr>
          <w:lang w:val="nl-NL"/>
        </w:rPr>
        <w:t xml:space="preserve"> vervallen. Toegevoegd is dat de gebruikersinstructie plaats vindt aan het betreffende personeel van Opdrachtgever</w:t>
      </w:r>
    </w:p>
    <w:p w14:paraId="4A36A91E" w14:textId="1C26A673" w:rsidR="00AD1D9B" w:rsidRPr="00AD1D9B" w:rsidRDefault="005B5518" w:rsidP="005B5518">
      <w:pPr>
        <w:pStyle w:val="Kop2"/>
        <w:ind w:left="1080" w:hanging="720"/>
        <w:rPr>
          <w:lang w:val="nl-NL"/>
        </w:rPr>
      </w:pPr>
      <w:r w:rsidRPr="005B5518">
        <w:rPr>
          <w:lang w:val="nl-NL"/>
        </w:rPr>
        <w:t>Artikel 16 Keuring, Controle en</w:t>
      </w:r>
      <w:r w:rsidR="00AD49A9">
        <w:rPr>
          <w:lang w:val="nl-NL"/>
        </w:rPr>
        <w:t>/of</w:t>
      </w:r>
      <w:r w:rsidRPr="005B5518">
        <w:rPr>
          <w:lang w:val="nl-NL"/>
        </w:rPr>
        <w:t xml:space="preserve"> Beproeving</w:t>
      </w:r>
    </w:p>
    <w:p w14:paraId="01AC493E" w14:textId="77777777" w:rsidR="00A24768" w:rsidRPr="00A24768" w:rsidRDefault="00A24768" w:rsidP="00A24768">
      <w:pPr>
        <w:rPr>
          <w:lang w:val="nl-NL"/>
        </w:rPr>
      </w:pPr>
      <w:r w:rsidRPr="00A24768">
        <w:rPr>
          <w:lang w:val="nl-NL"/>
        </w:rPr>
        <w:t>en/of is aan de kop van het artikel toegevoegd</w:t>
      </w:r>
    </w:p>
    <w:p w14:paraId="3163AC18" w14:textId="6190DDD2" w:rsidR="00A24768" w:rsidRPr="00A24768" w:rsidRDefault="00A24768" w:rsidP="00A24768">
      <w:pPr>
        <w:rPr>
          <w:lang w:val="nl-NL"/>
        </w:rPr>
      </w:pPr>
      <w:r w:rsidRPr="00A24768">
        <w:rPr>
          <w:lang w:val="nl-NL"/>
        </w:rPr>
        <w:t xml:space="preserve">16.7 Ter verduidelijking is toegevoegd dat het </w:t>
      </w:r>
      <w:r w:rsidR="006A1D2C">
        <w:rPr>
          <w:lang w:val="nl-NL"/>
        </w:rPr>
        <w:t>“</w:t>
      </w:r>
      <w:r w:rsidRPr="00A24768">
        <w:rPr>
          <w:lang w:val="nl-NL"/>
        </w:rPr>
        <w:t>Product als dusdanig niet afdoende functioneert volgens de Opdrachtgever</w:t>
      </w:r>
      <w:r w:rsidR="006A1D2C">
        <w:rPr>
          <w:lang w:val="nl-NL"/>
        </w:rPr>
        <w:t>"</w:t>
      </w:r>
    </w:p>
    <w:p w14:paraId="7DE12AAD" w14:textId="744998C8" w:rsidR="00A24768" w:rsidRPr="00A24768" w:rsidRDefault="00A24768" w:rsidP="00A24768">
      <w:pPr>
        <w:rPr>
          <w:lang w:val="nl-NL"/>
        </w:rPr>
      </w:pPr>
      <w:r w:rsidRPr="00A24768">
        <w:rPr>
          <w:lang w:val="nl-NL"/>
        </w:rPr>
        <w:t xml:space="preserve">16.8 </w:t>
      </w:r>
      <w:r w:rsidR="00927867">
        <w:rPr>
          <w:lang w:val="nl-NL"/>
        </w:rPr>
        <w:t>“</w:t>
      </w:r>
      <w:r w:rsidRPr="00A24768">
        <w:rPr>
          <w:lang w:val="nl-NL"/>
        </w:rPr>
        <w:t>Instelling heeft het recht herstel of vervanging voor rekening van Leverancier, door Leverancier of door derden uit te laten voeren. Dit kan in een spoedeisend geval en nadat overleg met Leverancier plaats heeft gevonden, waaruit redelijkerwijs moet worden aangenomen dat Leverancier niet, niet tijdig of niet naar behoren voor herstel of vervanging kan of zal zorgdragen.</w:t>
      </w:r>
      <w:r w:rsidR="00927867">
        <w:rPr>
          <w:lang w:val="nl-NL"/>
        </w:rPr>
        <w:t>”</w:t>
      </w:r>
    </w:p>
    <w:p w14:paraId="26CDFBD0" w14:textId="534BA6E6" w:rsidR="00A24768" w:rsidRPr="00A24768" w:rsidRDefault="00A57EAA" w:rsidP="00A24768">
      <w:pPr>
        <w:rPr>
          <w:lang w:val="nl-NL"/>
        </w:rPr>
      </w:pPr>
      <w:r>
        <w:rPr>
          <w:lang w:val="nl-NL"/>
        </w:rPr>
        <w:t xml:space="preserve">is </w:t>
      </w:r>
      <w:r w:rsidR="00A24768" w:rsidRPr="00A24768">
        <w:rPr>
          <w:lang w:val="nl-NL"/>
        </w:rPr>
        <w:t xml:space="preserve">veranderd in </w:t>
      </w:r>
    </w:p>
    <w:p w14:paraId="5148CBF1" w14:textId="0CAE1110" w:rsidR="00A24768" w:rsidRPr="00A24768" w:rsidRDefault="00796EE7" w:rsidP="00A24768">
      <w:pPr>
        <w:rPr>
          <w:lang w:val="nl-NL"/>
        </w:rPr>
      </w:pPr>
      <w:r>
        <w:rPr>
          <w:lang w:val="nl-NL"/>
        </w:rPr>
        <w:t>“</w:t>
      </w:r>
      <w:r w:rsidR="00A24768" w:rsidRPr="00A24768">
        <w:rPr>
          <w:lang w:val="nl-NL"/>
        </w:rPr>
        <w:t xml:space="preserve">In spoedeisende gevallen en indien na overleg met Leverancier redelijkerwijs moet worden aangenomen dat Leverancier niet, niet tijdig of niet naar behoren voor herstel of vervanging kan of zal zorgdragen, heeft </w:t>
      </w:r>
      <w:r w:rsidR="00BA2476">
        <w:rPr>
          <w:lang w:val="nl-NL"/>
        </w:rPr>
        <w:t>Opdrachtgever</w:t>
      </w:r>
      <w:r w:rsidR="00A24768" w:rsidRPr="00A24768">
        <w:rPr>
          <w:lang w:val="nl-NL"/>
        </w:rPr>
        <w:t xml:space="preserve"> het recht herstel of vervanging voor rekening van Leverancier zelf uit te voeren, of door derden uit te laten voeren.</w:t>
      </w:r>
      <w:r>
        <w:rPr>
          <w:lang w:val="nl-NL"/>
        </w:rPr>
        <w:t>”</w:t>
      </w:r>
    </w:p>
    <w:p w14:paraId="7989F14D" w14:textId="77777777" w:rsidR="00A24768" w:rsidRPr="00A24768" w:rsidRDefault="00A24768" w:rsidP="00A24768">
      <w:pPr>
        <w:rPr>
          <w:lang w:val="nl-NL"/>
        </w:rPr>
      </w:pPr>
      <w:r w:rsidRPr="00A24768">
        <w:rPr>
          <w:lang w:val="nl-NL"/>
        </w:rPr>
        <w:t>16.9 en 16.10 zijn toegevoegd (NFU)</w:t>
      </w:r>
    </w:p>
    <w:p w14:paraId="37FB2C42" w14:textId="765F9BDA" w:rsidR="00DE08CD" w:rsidRPr="00DE08CD" w:rsidRDefault="00DE08CD" w:rsidP="00DE08CD">
      <w:pPr>
        <w:pStyle w:val="Kop2"/>
        <w:ind w:left="1080" w:hanging="720"/>
        <w:rPr>
          <w:lang w:val="nl-NL"/>
        </w:rPr>
      </w:pPr>
      <w:r w:rsidRPr="00DE08CD">
        <w:rPr>
          <w:lang w:val="nl-NL"/>
        </w:rPr>
        <w:t>Artikel 17 Intellectuele Eigendom en andere (vergelijkbare) rechten</w:t>
      </w:r>
    </w:p>
    <w:p w14:paraId="244B7F0F" w14:textId="244B4914" w:rsidR="009F6F30" w:rsidRDefault="006F2B68" w:rsidP="00DE08CD">
      <w:pPr>
        <w:rPr>
          <w:lang w:val="nl-NL"/>
        </w:rPr>
      </w:pPr>
      <w:r>
        <w:rPr>
          <w:lang w:val="nl-NL"/>
        </w:rPr>
        <w:t>Artikel 17 is uitgebreid om de basis van Intellectueel Eigendom in elke situatie beter te verankeren. Eventuele andere afspraken zullen onderling goed overeengekomen moeten worden (schriftelijk).</w:t>
      </w:r>
      <w:r w:rsidR="009C3307">
        <w:rPr>
          <w:lang w:val="nl-NL"/>
        </w:rPr>
        <w:t xml:space="preserve"> De AIVG zijn een vangnet indien partijen niet specifieke zaken omtrent IE met elkaar afspreken.</w:t>
      </w:r>
    </w:p>
    <w:p w14:paraId="33F31365" w14:textId="249286D6" w:rsidR="00365D9F" w:rsidRDefault="00B66C7A" w:rsidP="00DE08CD">
      <w:pPr>
        <w:rPr>
          <w:lang w:val="nl-NL"/>
        </w:rPr>
      </w:pPr>
      <w:r>
        <w:rPr>
          <w:lang w:val="nl-NL"/>
        </w:rPr>
        <w:t>De nieuwe 17.3 heeft betrekking op Prestatie en Product</w:t>
      </w:r>
      <w:r w:rsidR="00723D6E">
        <w:rPr>
          <w:lang w:val="nl-NL"/>
        </w:rPr>
        <w:t xml:space="preserve"> (breder gemaakt) </w:t>
      </w:r>
      <w:r w:rsidR="00365D9F">
        <w:rPr>
          <w:lang w:val="nl-NL"/>
        </w:rPr>
        <w:t xml:space="preserve">en niet alleen </w:t>
      </w:r>
      <w:r w:rsidR="00723D6E">
        <w:rPr>
          <w:lang w:val="nl-NL"/>
        </w:rPr>
        <w:t>als Prestatie/Product niet specifiek ontwikkeld is.</w:t>
      </w:r>
    </w:p>
    <w:p w14:paraId="1F8E9D54" w14:textId="45EDD8BE" w:rsidR="00DE08CD" w:rsidRPr="00DE08CD" w:rsidRDefault="00DE08CD" w:rsidP="00DE08CD">
      <w:pPr>
        <w:rPr>
          <w:lang w:val="nl-NL"/>
        </w:rPr>
      </w:pPr>
      <w:r w:rsidRPr="00DE08CD">
        <w:rPr>
          <w:lang w:val="nl-NL"/>
        </w:rPr>
        <w:lastRenderedPageBreak/>
        <w:t xml:space="preserve">17.4 en 17.5 gedeeltelijk overgenomen uit de NFU voorwaarden omdat dit niet goed geregeld was in de AIVG 2017, met name bij overdracht rechten, </w:t>
      </w:r>
      <w:r w:rsidR="0092536C" w:rsidRPr="00DE08CD">
        <w:rPr>
          <w:lang w:val="nl-NL"/>
        </w:rPr>
        <w:t>m.b.t.</w:t>
      </w:r>
      <w:r w:rsidRPr="00DE08CD">
        <w:rPr>
          <w:lang w:val="nl-NL"/>
        </w:rPr>
        <w:t xml:space="preserve"> persoonlijkheidsrechten en de IE rechten bij ontwikkeling van Product en Prestatie in opdracht. </w:t>
      </w:r>
      <w:r w:rsidR="005C0292">
        <w:rPr>
          <w:lang w:val="nl-NL"/>
        </w:rPr>
        <w:t xml:space="preserve">Artikel 17.4 beschrijft de IE rechten op Prestatie en Product als het specifiek is ontwikkeld. Artikel </w:t>
      </w:r>
      <w:r w:rsidRPr="00DE08CD">
        <w:rPr>
          <w:lang w:val="nl-NL"/>
        </w:rPr>
        <w:t xml:space="preserve">17.5 </w:t>
      </w:r>
      <w:r w:rsidR="005C0292">
        <w:rPr>
          <w:lang w:val="nl-NL"/>
        </w:rPr>
        <w:t xml:space="preserve">is </w:t>
      </w:r>
      <w:r w:rsidRPr="00DE08CD">
        <w:rPr>
          <w:lang w:val="nl-NL"/>
        </w:rPr>
        <w:t>uitgebreid met informatieplicht bij inbreuk van IE rechten en met vervangend hulpmiddel.</w:t>
      </w:r>
      <w:r w:rsidR="005C0292">
        <w:rPr>
          <w:lang w:val="nl-NL"/>
        </w:rPr>
        <w:t xml:space="preserve"> </w:t>
      </w:r>
      <w:bookmarkStart w:id="1" w:name="_Hlk89348869"/>
      <w:r w:rsidR="005C0292">
        <w:rPr>
          <w:lang w:val="nl-NL"/>
        </w:rPr>
        <w:t>Gezien de aard van deze artikelen juridisch complex en daarmee niet makkelijk leesbaar.</w:t>
      </w:r>
      <w:bookmarkEnd w:id="1"/>
    </w:p>
    <w:p w14:paraId="4DE8137D" w14:textId="034D1CE1" w:rsidR="00DE08CD" w:rsidRDefault="00DE08CD" w:rsidP="00DE08CD">
      <w:pPr>
        <w:rPr>
          <w:lang w:val="nl-NL"/>
        </w:rPr>
      </w:pPr>
      <w:r w:rsidRPr="00DE08CD">
        <w:rPr>
          <w:lang w:val="nl-NL"/>
        </w:rPr>
        <w:t xml:space="preserve">En moet hier niet aan worden toegevoegd dat de verplichtingen uit artikel 17 voort blijven duren na beëindiging van de Overeenkomst/opdracht. </w:t>
      </w:r>
    </w:p>
    <w:p w14:paraId="678C1CC6" w14:textId="77777777" w:rsidR="00D32CA7" w:rsidRPr="00D32CA7" w:rsidRDefault="00D32CA7" w:rsidP="00D32CA7">
      <w:pPr>
        <w:pStyle w:val="Kop2"/>
        <w:ind w:left="1080" w:hanging="720"/>
        <w:rPr>
          <w:lang w:val="nl-NL"/>
        </w:rPr>
      </w:pPr>
      <w:r w:rsidRPr="00D32CA7">
        <w:rPr>
          <w:lang w:val="nl-NL"/>
        </w:rPr>
        <w:t>Artikel 18 Geheimhouding</w:t>
      </w:r>
    </w:p>
    <w:p w14:paraId="0538BA3D" w14:textId="77777777" w:rsidR="00D32CA7" w:rsidRPr="00D32CA7" w:rsidRDefault="00D32CA7" w:rsidP="00D32CA7">
      <w:pPr>
        <w:rPr>
          <w:lang w:val="nl-NL"/>
        </w:rPr>
      </w:pPr>
      <w:r w:rsidRPr="00D32CA7">
        <w:rPr>
          <w:lang w:val="nl-NL"/>
        </w:rPr>
        <w:t>Het betreft een voor inkoopvoorwaarden unieke wederkerige geheimhoudingsplicht die ziet op informatie die vertrouwelijk van aard is. Dat is een wijziging t.o.v. de geheimhoudingsbepaling uit de AIVG 2017 die alle informatie onder de geheimhoudingsplicht liet vallen, dat was ongewenst en niet te handhaven.  Nieuw is een beperkte boete die opgelegd kan worden aan leverancier, dit om het belang van de verplichting te onderstrepen en de sanctionering ervan te kunnen afdwingen.</w:t>
      </w:r>
    </w:p>
    <w:p w14:paraId="4059A706" w14:textId="70424066" w:rsidR="00D32CA7" w:rsidRPr="00D32CA7" w:rsidRDefault="00D32CA7" w:rsidP="00DE08CD">
      <w:pPr>
        <w:rPr>
          <w:lang w:val="nl-NL"/>
        </w:rPr>
      </w:pPr>
      <w:r w:rsidRPr="00D32CA7">
        <w:rPr>
          <w:lang w:val="nl-NL"/>
        </w:rPr>
        <w:t>Voorts is in lid 1 een nieuwe bepaling toegevoegd, deze betreft de ontheffing van wederkerige geheimhoudingsplicht voor Opdrachtgever ingeval van gezamenlijke inkoopsamenwerkingen met andere opdrachtgevers</w:t>
      </w:r>
      <w:r w:rsidR="008C2CBD">
        <w:rPr>
          <w:lang w:val="nl-NL"/>
        </w:rPr>
        <w:t>,</w:t>
      </w:r>
      <w:r w:rsidR="004D2BCE">
        <w:rPr>
          <w:lang w:val="nl-NL"/>
        </w:rPr>
        <w:t xml:space="preserve"> uiteraard b</w:t>
      </w:r>
      <w:r w:rsidR="004D2BCE" w:rsidRPr="004D2BCE">
        <w:rPr>
          <w:lang w:val="nl-NL"/>
        </w:rPr>
        <w:t>innen de mogelijkheden van de Mededingingswet</w:t>
      </w:r>
      <w:r w:rsidR="004D2BCE">
        <w:rPr>
          <w:lang w:val="nl-NL"/>
        </w:rPr>
        <w:t xml:space="preserve"> </w:t>
      </w:r>
      <w:r w:rsidR="00060E97">
        <w:rPr>
          <w:lang w:val="nl-NL"/>
        </w:rPr>
        <w:t xml:space="preserve">m.b.t. het </w:t>
      </w:r>
      <w:r w:rsidR="00060E97" w:rsidRPr="00060E97">
        <w:rPr>
          <w:lang w:val="nl-NL"/>
        </w:rPr>
        <w:t xml:space="preserve">delen van voorwaarden en prijzen binnen inkoopcombinaties </w:t>
      </w:r>
      <w:r w:rsidR="004D2BCE">
        <w:rPr>
          <w:lang w:val="nl-NL"/>
        </w:rPr>
        <w:t xml:space="preserve">(zie ook de </w:t>
      </w:r>
      <w:r w:rsidR="000A298A">
        <w:fldChar w:fldCharType="begin"/>
      </w:r>
      <w:r w:rsidR="000A298A" w:rsidRPr="000A298A">
        <w:rPr>
          <w:lang w:val="nl-NL"/>
        </w:rPr>
        <w:instrText xml:space="preserve"> HYPERLINK "https://www.acm.nl/</w:instrText>
      </w:r>
      <w:r w:rsidR="000A298A" w:rsidRPr="000A298A">
        <w:rPr>
          <w:lang w:val="nl-NL"/>
        </w:rPr>
        <w:instrText xml:space="preserve">sites/default/files/documents/leidraad-samenwerking-tussen-concurrenten.pdf" </w:instrText>
      </w:r>
      <w:r w:rsidR="000A298A">
        <w:fldChar w:fldCharType="separate"/>
      </w:r>
      <w:r w:rsidR="004D2BCE" w:rsidRPr="004D2BCE">
        <w:rPr>
          <w:rStyle w:val="Hyperlink"/>
          <w:lang w:val="nl-NL"/>
        </w:rPr>
        <w:t>Leidraad samenwerking concurrenten</w:t>
      </w:r>
      <w:r w:rsidR="000A298A">
        <w:rPr>
          <w:rStyle w:val="Hyperlink"/>
          <w:lang w:val="nl-NL"/>
        </w:rPr>
        <w:fldChar w:fldCharType="end"/>
      </w:r>
      <w:r w:rsidR="004D2BCE" w:rsidRPr="004D2BCE">
        <w:rPr>
          <w:lang w:val="nl-NL"/>
        </w:rPr>
        <w:t xml:space="preserve"> </w:t>
      </w:r>
      <w:r w:rsidR="004D2BCE">
        <w:rPr>
          <w:lang w:val="nl-NL"/>
        </w:rPr>
        <w:t xml:space="preserve">van de ACM </w:t>
      </w:r>
      <w:r w:rsidR="004D2BCE" w:rsidRPr="004D2BCE">
        <w:rPr>
          <w:lang w:val="nl-NL"/>
        </w:rPr>
        <w:t>onder 3.7</w:t>
      </w:r>
      <w:r w:rsidR="004D2BCE">
        <w:rPr>
          <w:lang w:val="nl-NL"/>
        </w:rPr>
        <w:t>)</w:t>
      </w:r>
      <w:r w:rsidRPr="00D32CA7">
        <w:rPr>
          <w:lang w:val="nl-NL"/>
        </w:rPr>
        <w:t>.</w:t>
      </w:r>
    </w:p>
    <w:p w14:paraId="66BE29F1" w14:textId="77777777" w:rsidR="00DE08CD" w:rsidRPr="00DE08CD" w:rsidRDefault="00DE08CD" w:rsidP="00DE08CD">
      <w:pPr>
        <w:pStyle w:val="Kop2"/>
        <w:ind w:left="1080" w:hanging="720"/>
        <w:rPr>
          <w:lang w:val="nl-NL"/>
        </w:rPr>
      </w:pPr>
      <w:r w:rsidRPr="00DE08CD">
        <w:rPr>
          <w:lang w:val="nl-NL"/>
        </w:rPr>
        <w:t xml:space="preserve">Artikel 19 Bescherming van persoonsgegevens </w:t>
      </w:r>
    </w:p>
    <w:p w14:paraId="148D5D6F" w14:textId="3506CF86" w:rsidR="00D50633" w:rsidRDefault="00D50633" w:rsidP="00DE08CD">
      <w:pPr>
        <w:rPr>
          <w:lang w:val="nl-NL"/>
        </w:rPr>
      </w:pPr>
      <w:r>
        <w:rPr>
          <w:lang w:val="nl-NL"/>
        </w:rPr>
        <w:t>Artikel 19 is geactualiseerd naar de huidige wetgeving.</w:t>
      </w:r>
    </w:p>
    <w:p w14:paraId="2BFD4617" w14:textId="1EAF03EC" w:rsidR="00DE08CD" w:rsidRPr="00DE08CD" w:rsidRDefault="00DE08CD" w:rsidP="00DE08CD">
      <w:pPr>
        <w:rPr>
          <w:lang w:val="nl-NL"/>
        </w:rPr>
      </w:pPr>
      <w:bookmarkStart w:id="2" w:name="_Hlk89939616"/>
      <w:r w:rsidRPr="00DE08CD">
        <w:rPr>
          <w:lang w:val="nl-NL"/>
        </w:rPr>
        <w:t xml:space="preserve">Ook in de ICT Module </w:t>
      </w:r>
      <w:r w:rsidR="00AE7DC0">
        <w:rPr>
          <w:lang w:val="nl-NL"/>
        </w:rPr>
        <w:t>zijn</w:t>
      </w:r>
      <w:r w:rsidRPr="00DE08CD">
        <w:rPr>
          <w:lang w:val="nl-NL"/>
        </w:rPr>
        <w:t xml:space="preserve"> bepalingen opgenomen m</w:t>
      </w:r>
      <w:r w:rsidR="00A4455E">
        <w:rPr>
          <w:lang w:val="nl-NL"/>
        </w:rPr>
        <w:t>.</w:t>
      </w:r>
      <w:r w:rsidRPr="00DE08CD">
        <w:rPr>
          <w:lang w:val="nl-NL"/>
        </w:rPr>
        <w:t>b</w:t>
      </w:r>
      <w:r w:rsidR="00A4455E">
        <w:rPr>
          <w:lang w:val="nl-NL"/>
        </w:rPr>
        <w:t>.</w:t>
      </w:r>
      <w:r w:rsidRPr="00DE08CD">
        <w:rPr>
          <w:lang w:val="nl-NL"/>
        </w:rPr>
        <w:t>t</w:t>
      </w:r>
      <w:r w:rsidR="00A4455E">
        <w:rPr>
          <w:lang w:val="nl-NL"/>
        </w:rPr>
        <w:t>.</w:t>
      </w:r>
      <w:r w:rsidRPr="00DE08CD">
        <w:rPr>
          <w:lang w:val="nl-NL"/>
        </w:rPr>
        <w:t xml:space="preserve"> gebruik van persoonsgegeven</w:t>
      </w:r>
      <w:r w:rsidR="006D0E23">
        <w:rPr>
          <w:lang w:val="nl-NL"/>
        </w:rPr>
        <w:t>s</w:t>
      </w:r>
      <w:bookmarkEnd w:id="2"/>
      <w:r w:rsidR="006D0E23">
        <w:rPr>
          <w:lang w:val="nl-NL"/>
        </w:rPr>
        <w:t>.</w:t>
      </w:r>
      <w:r w:rsidRPr="00DE08CD">
        <w:rPr>
          <w:lang w:val="nl-NL"/>
        </w:rPr>
        <w:t xml:space="preserve"> De ICT Module geldt echter alleen als deze van toepassing verklaard worden en ook bij niet </w:t>
      </w:r>
      <w:r w:rsidR="00EE042A" w:rsidRPr="00DE08CD">
        <w:rPr>
          <w:lang w:val="nl-NL"/>
        </w:rPr>
        <w:t>ICT-toepassingen</w:t>
      </w:r>
      <w:r w:rsidRPr="00DE08CD">
        <w:rPr>
          <w:lang w:val="nl-NL"/>
        </w:rPr>
        <w:t xml:space="preserve"> kan er sprake zijn van persoonsgegevens zodat het van belang is dit ook in de AIVG </w:t>
      </w:r>
      <w:r w:rsidR="00AE7DC0">
        <w:rPr>
          <w:lang w:val="nl-NL"/>
        </w:rPr>
        <w:t xml:space="preserve">zelf </w:t>
      </w:r>
      <w:r w:rsidRPr="00DE08CD">
        <w:rPr>
          <w:lang w:val="nl-NL"/>
        </w:rPr>
        <w:t xml:space="preserve">te regelen.  </w:t>
      </w:r>
    </w:p>
    <w:p w14:paraId="2E769FE5" w14:textId="77777777" w:rsidR="00DE08CD" w:rsidRPr="00DE08CD" w:rsidRDefault="00DE08CD" w:rsidP="00DE08CD">
      <w:pPr>
        <w:rPr>
          <w:lang w:val="nl-NL"/>
        </w:rPr>
      </w:pPr>
      <w:r w:rsidRPr="00DE08CD">
        <w:rPr>
          <w:lang w:val="nl-NL"/>
        </w:rPr>
        <w:t xml:space="preserve">Alle partijen dienen zich uiteraard aan de AVG en andere privacy wet- en regelgeving te houden (zoals de WGBO). Voor de Opdrachtgever is het van groot belang dat de Leveranciers zich aan de privacy wet- en regelgeving houden, aangezien Opdrachtgever veelal de gegevens verantwoordelijke is. Patiëntengegevens zijn bijzondere persoonsgegevens, waarbij nog een verregaandere bescherming geldt en een hiermee gepaard gaande verzwaarde aansprakelijkheid, denk aan hoge boetes AP, imagoschade en de niet wenselijkheid van delen van patiëntgegeven.  </w:t>
      </w:r>
    </w:p>
    <w:p w14:paraId="17E0EF3B" w14:textId="77777777" w:rsidR="00DE08CD" w:rsidRPr="00DE08CD" w:rsidRDefault="00DE08CD" w:rsidP="00DE08CD">
      <w:pPr>
        <w:rPr>
          <w:lang w:val="nl-NL"/>
        </w:rPr>
      </w:pPr>
      <w:r w:rsidRPr="00DE08CD">
        <w:rPr>
          <w:lang w:val="nl-NL"/>
        </w:rPr>
        <w:t xml:space="preserve">Door de bepalingen in artikel 19 aan te scherpen en te actualiseren (AVG, bewerkersovereenkomst is verwerkersovereenkomst geworden) wordt tegemoet gekomen aan de wettelijke vereisten en wensen van de instellingen (opdrachtgevers in deze). </w:t>
      </w:r>
    </w:p>
    <w:p w14:paraId="6DDEED1E" w14:textId="1FFDE9BC" w:rsidR="00DE08CD" w:rsidRDefault="00DE08CD" w:rsidP="00DE08CD">
      <w:pPr>
        <w:rPr>
          <w:lang w:val="nl-NL"/>
        </w:rPr>
      </w:pPr>
      <w:r w:rsidRPr="00DE08CD">
        <w:rPr>
          <w:lang w:val="nl-NL"/>
        </w:rPr>
        <w:t>Tevens zijn de mogelijkheid van externe controle (audit) en vrijwaring in deze toegevoegd.</w:t>
      </w:r>
    </w:p>
    <w:p w14:paraId="6AFC993A" w14:textId="6B1F0962" w:rsidR="00AA3165" w:rsidRDefault="00AA3165" w:rsidP="00AA3165">
      <w:pPr>
        <w:rPr>
          <w:lang w:val="nl-NL"/>
        </w:rPr>
      </w:pPr>
      <w:r>
        <w:rPr>
          <w:lang w:val="nl-NL"/>
        </w:rPr>
        <w:lastRenderedPageBreak/>
        <w:t xml:space="preserve">De </w:t>
      </w:r>
      <w:r w:rsidRPr="00AA3165">
        <w:rPr>
          <w:lang w:val="nl-NL"/>
        </w:rPr>
        <w:t>Brancheorganisaties Zorg (</w:t>
      </w:r>
      <w:proofErr w:type="spellStart"/>
      <w:r w:rsidRPr="00AA3165">
        <w:rPr>
          <w:lang w:val="nl-NL"/>
        </w:rPr>
        <w:t>BoZ</w:t>
      </w:r>
      <w:proofErr w:type="spellEnd"/>
      <w:r w:rsidRPr="00AA3165">
        <w:rPr>
          <w:lang w:val="nl-NL"/>
        </w:rPr>
        <w:t>) hebben in het kader van de inwerkingtreding van de Algemene Verordening Gegevensbescherming (AVG) een standaard modelverwerkersovereenkomst ontwikkeld.</w:t>
      </w:r>
      <w:r>
        <w:rPr>
          <w:lang w:val="nl-NL"/>
        </w:rPr>
        <w:t xml:space="preserve"> </w:t>
      </w:r>
      <w:r w:rsidRPr="00AA3165">
        <w:rPr>
          <w:lang w:val="nl-NL"/>
        </w:rPr>
        <w:t>Het model is ontwikkeld in nauwe samenwerking met zorgorganisaties, leveranciers en deskundigen.</w:t>
      </w:r>
      <w:r>
        <w:rPr>
          <w:rStyle w:val="Voetnootmarkering"/>
          <w:lang w:val="nl-NL"/>
        </w:rPr>
        <w:footnoteReference w:id="3"/>
      </w:r>
    </w:p>
    <w:p w14:paraId="7F3A60E9" w14:textId="65439CB0" w:rsidR="00DE08CD" w:rsidRPr="00DE08CD" w:rsidRDefault="00DE08CD" w:rsidP="00DE08CD">
      <w:pPr>
        <w:pStyle w:val="Kop2"/>
        <w:ind w:left="1080" w:hanging="720"/>
        <w:rPr>
          <w:lang w:val="nl-NL"/>
        </w:rPr>
      </w:pPr>
      <w:r w:rsidRPr="00DE08CD">
        <w:rPr>
          <w:lang w:val="nl-NL"/>
        </w:rPr>
        <w:t>Artikel 20 Aansprakelijkheid</w:t>
      </w:r>
    </w:p>
    <w:p w14:paraId="35D2FAE8" w14:textId="77777777" w:rsidR="00DE08CD" w:rsidRPr="00DE08CD" w:rsidRDefault="00DE08CD" w:rsidP="00DE08CD">
      <w:pPr>
        <w:rPr>
          <w:lang w:val="nl-NL"/>
        </w:rPr>
      </w:pPr>
      <w:r w:rsidRPr="00DE08CD">
        <w:rPr>
          <w:lang w:val="nl-NL"/>
        </w:rPr>
        <w:t xml:space="preserve">In artikel 20 is de term ‘directe’ schade vervallen. Dit is ook geen wettelijke term. Gekozen is voor een omschrijving van de aansprakelijkheid bij schade die aansluit bij de wettelijke omschrijving van toerekeningbare tekortkoming in de nakoming en hierbij uitsluitingen van aansprakelijk op te nemen (zijnde: imagoschade, schade ontstaan door overmacht, waardevermindering van producten, omzet- en/of winstderving en interne personeelskosten). </w:t>
      </w:r>
    </w:p>
    <w:p w14:paraId="18A55FF4" w14:textId="137F5572" w:rsidR="00DE08CD" w:rsidRDefault="00DE08CD" w:rsidP="00DE08CD">
      <w:pPr>
        <w:rPr>
          <w:lang w:val="nl-NL"/>
        </w:rPr>
      </w:pPr>
      <w:r w:rsidRPr="00DE08CD">
        <w:rPr>
          <w:lang w:val="nl-NL"/>
        </w:rPr>
        <w:t>In 20.2 zijn de maximale bedragen voor schadevergoeding</w:t>
      </w:r>
      <w:r w:rsidR="00E97A4E">
        <w:rPr>
          <w:lang w:val="nl-NL"/>
        </w:rPr>
        <w:t xml:space="preserve"> per</w:t>
      </w:r>
      <w:r w:rsidR="007F11A0">
        <w:rPr>
          <w:lang w:val="nl-NL"/>
        </w:rPr>
        <w:t xml:space="preserve"> kalender</w:t>
      </w:r>
      <w:r w:rsidR="00E97A4E">
        <w:rPr>
          <w:lang w:val="nl-NL"/>
        </w:rPr>
        <w:t>jaar</w:t>
      </w:r>
      <w:r w:rsidRPr="00DE08CD">
        <w:rPr>
          <w:lang w:val="nl-NL"/>
        </w:rPr>
        <w:t xml:space="preserve"> opgenomen, deze zijn vaak aanleiding voor discussie bij het aangaan van nieuwe overeenkomsten. Daarom is ervoor gekozen om een staffel op te nemen, waarbij de prijs voor de Overeenkomst gekoppeld is aan het maximale schadebedrag</w:t>
      </w:r>
      <w:r w:rsidR="00BA2EFE">
        <w:rPr>
          <w:lang w:val="nl-NL"/>
        </w:rPr>
        <w:t>.</w:t>
      </w:r>
      <w:r w:rsidRPr="00DE08CD">
        <w:rPr>
          <w:lang w:val="nl-NL"/>
        </w:rPr>
        <w:t xml:space="preserve"> </w:t>
      </w:r>
      <w:r w:rsidR="00BA2EFE">
        <w:rPr>
          <w:lang w:val="nl-NL"/>
        </w:rPr>
        <w:t>Te</w:t>
      </w:r>
      <w:r w:rsidR="00BA2EFE" w:rsidRPr="00DE08CD">
        <w:rPr>
          <w:lang w:val="nl-NL"/>
        </w:rPr>
        <w:t xml:space="preserve">vens </w:t>
      </w:r>
      <w:r w:rsidRPr="00DE08CD">
        <w:rPr>
          <w:lang w:val="nl-NL"/>
        </w:rPr>
        <w:t>zijn aanbestedingstrajecten opgenomen in de staffel</w:t>
      </w:r>
      <w:r w:rsidR="00BA2EFE">
        <w:rPr>
          <w:lang w:val="nl-NL"/>
        </w:rPr>
        <w:t xml:space="preserve"> </w:t>
      </w:r>
      <w:r w:rsidR="00A4455E">
        <w:rPr>
          <w:lang w:val="nl-NL"/>
        </w:rPr>
        <w:t>en</w:t>
      </w:r>
      <w:r w:rsidR="00BA2EFE">
        <w:rPr>
          <w:lang w:val="nl-NL"/>
        </w:rPr>
        <w:t xml:space="preserve"> een verlaging van het </w:t>
      </w:r>
      <w:r w:rsidR="00823114">
        <w:rPr>
          <w:lang w:val="nl-NL"/>
        </w:rPr>
        <w:t>maximale schadebedrag</w:t>
      </w:r>
      <w:r w:rsidR="008B5DA0">
        <w:rPr>
          <w:lang w:val="nl-NL"/>
        </w:rPr>
        <w:t xml:space="preserve"> bij overeenkomsten in de laagste staffel</w:t>
      </w:r>
      <w:r w:rsidRPr="00DE08CD">
        <w:rPr>
          <w:lang w:val="nl-NL"/>
        </w:rPr>
        <w:t xml:space="preserve">. </w:t>
      </w:r>
      <w:r w:rsidR="00F8397A">
        <w:rPr>
          <w:lang w:val="nl-NL"/>
        </w:rPr>
        <w:t xml:space="preserve">Ook </w:t>
      </w:r>
      <w:r w:rsidRPr="00DE08CD">
        <w:rPr>
          <w:lang w:val="nl-NL"/>
        </w:rPr>
        <w:t>zijn er uitzonderingsgevallen opgenomen.</w:t>
      </w:r>
    </w:p>
    <w:p w14:paraId="2EB63E58" w14:textId="6D95E6ED" w:rsidR="00960D2F" w:rsidRPr="00DE08CD" w:rsidRDefault="00960D2F" w:rsidP="00DE08CD">
      <w:pPr>
        <w:rPr>
          <w:lang w:val="nl-NL"/>
        </w:rPr>
      </w:pPr>
      <w:r>
        <w:rPr>
          <w:lang w:val="nl-NL"/>
        </w:rPr>
        <w:t>20.3 De maximale aansprakelijk van Opdrachtgever is toegevoegd.</w:t>
      </w:r>
    </w:p>
    <w:p w14:paraId="1B5ECE50" w14:textId="16FD9F67" w:rsidR="00DE08CD" w:rsidRPr="00DE08CD" w:rsidRDefault="00DE08CD" w:rsidP="00DE08CD">
      <w:pPr>
        <w:rPr>
          <w:lang w:val="nl-NL"/>
        </w:rPr>
      </w:pPr>
      <w:r w:rsidRPr="00DE08CD">
        <w:rPr>
          <w:lang w:val="nl-NL"/>
        </w:rPr>
        <w:t>20.4  derden vrijwaring is verder gespecificeerd (onderaannemers, belastingdienst, instanties voor sociale zekerheid)</w:t>
      </w:r>
      <w:r w:rsidR="003D4237">
        <w:rPr>
          <w:lang w:val="nl-NL"/>
        </w:rPr>
        <w:t>. Tevens toegevoegd is dat Leverancier verplicht is de continuïteit te waarborgen indien er sprake is van aansprakelijkheidsstelling.</w:t>
      </w:r>
    </w:p>
    <w:p w14:paraId="1F1D8F28" w14:textId="5F0BD0AA" w:rsidR="00DE08CD" w:rsidRPr="00DE08CD" w:rsidRDefault="00DE08CD" w:rsidP="00DE08CD">
      <w:pPr>
        <w:rPr>
          <w:lang w:val="nl-NL"/>
        </w:rPr>
      </w:pPr>
      <w:r w:rsidRPr="00DE08CD">
        <w:rPr>
          <w:lang w:val="nl-NL"/>
        </w:rPr>
        <w:t xml:space="preserve">20.5  </w:t>
      </w:r>
      <w:r w:rsidR="00916ED0">
        <w:rPr>
          <w:lang w:val="nl-NL"/>
        </w:rPr>
        <w:t>Toegevoegd is dat Leverancier op verzoek van Opdrachtgever bewijs aanlevert van de aansprakelijkheids</w:t>
      </w:r>
      <w:r w:rsidRPr="00DE08CD">
        <w:rPr>
          <w:lang w:val="nl-NL"/>
        </w:rPr>
        <w:t>verzekering</w:t>
      </w:r>
      <w:r w:rsidR="00753036">
        <w:rPr>
          <w:lang w:val="nl-NL"/>
        </w:rPr>
        <w:t>.</w:t>
      </w:r>
      <w:r w:rsidRPr="00DE08CD">
        <w:rPr>
          <w:lang w:val="nl-NL"/>
        </w:rPr>
        <w:t xml:space="preserve">. </w:t>
      </w:r>
    </w:p>
    <w:p w14:paraId="4C09BEEF" w14:textId="48D38EDA" w:rsidR="00DE08CD" w:rsidRPr="00DE08CD" w:rsidRDefault="00DE08CD" w:rsidP="00DE08CD">
      <w:pPr>
        <w:rPr>
          <w:lang w:val="nl-NL"/>
        </w:rPr>
      </w:pPr>
      <w:r w:rsidRPr="00DE08CD">
        <w:rPr>
          <w:lang w:val="nl-NL"/>
        </w:rPr>
        <w:t xml:space="preserve">20.6 Is nieuw toegevoegd, waarbij bepaald is dat de maximalisering van de aansprakelijkheid niet geldt in geval van schade voortvloeiend uit de bescherming van persoonsgegevens. </w:t>
      </w:r>
      <w:r w:rsidR="00AA3165">
        <w:rPr>
          <w:lang w:val="nl-NL"/>
        </w:rPr>
        <w:t>Met de laatste zin</w:t>
      </w:r>
      <w:r w:rsidR="00AA3165" w:rsidRPr="00AA3165">
        <w:rPr>
          <w:lang w:val="nl-NL"/>
        </w:rPr>
        <w:t xml:space="preserve"> wordt bedoeld dat de rechten op de vorderingen/uitkeringen van de Leverancier bij de verzekeraar worden overgedragen aan Opdrachtgever, zodat Opdrachtgever deze rechtstreeks bij de verzekeraar kan opeisen.</w:t>
      </w:r>
    </w:p>
    <w:p w14:paraId="3E7C0EB6" w14:textId="77777777" w:rsidR="00DC0E4B" w:rsidRPr="00DC0E4B" w:rsidRDefault="00DC0E4B" w:rsidP="00DC0E4B">
      <w:pPr>
        <w:pStyle w:val="Kop2"/>
        <w:ind w:left="1080" w:hanging="720"/>
        <w:rPr>
          <w:lang w:val="nl-NL"/>
        </w:rPr>
      </w:pPr>
      <w:r w:rsidRPr="00DC0E4B">
        <w:rPr>
          <w:lang w:val="nl-NL"/>
        </w:rPr>
        <w:t>Artikel 21 Ontbinding en Overmacht</w:t>
      </w:r>
    </w:p>
    <w:p w14:paraId="384D3D9A" w14:textId="77777777" w:rsidR="00DC0E4B" w:rsidRPr="00DC0E4B" w:rsidRDefault="00DC0E4B" w:rsidP="00DC0E4B">
      <w:pPr>
        <w:rPr>
          <w:lang w:val="nl-NL"/>
        </w:rPr>
      </w:pPr>
      <w:r w:rsidRPr="00DC0E4B">
        <w:rPr>
          <w:lang w:val="nl-NL"/>
        </w:rPr>
        <w:t>Het vorige artikel over ontbinding (art. 21 AIVG 2017) was op veel vlakken voor verbetering vatbaar.</w:t>
      </w:r>
    </w:p>
    <w:p w14:paraId="0640FC7D" w14:textId="77777777" w:rsidR="00DC0E4B" w:rsidRPr="00DC0E4B" w:rsidRDefault="00DC0E4B" w:rsidP="00DC0E4B">
      <w:pPr>
        <w:rPr>
          <w:lang w:val="nl-NL"/>
        </w:rPr>
      </w:pPr>
      <w:r w:rsidRPr="00DC0E4B">
        <w:rPr>
          <w:lang w:val="nl-NL"/>
        </w:rPr>
        <w:t>Zo was artikel 21 lid 1 AIVG 2017 juridisch gezien niet juist / disproportioneel o.a. bij de koppeling met verzuim, gevolgen ontbinding, aanvraag surseance.</w:t>
      </w:r>
    </w:p>
    <w:p w14:paraId="0622FC17" w14:textId="77777777" w:rsidR="00DC0E4B" w:rsidRPr="00DC0E4B" w:rsidRDefault="00DC0E4B" w:rsidP="00DC0E4B">
      <w:pPr>
        <w:rPr>
          <w:lang w:val="nl-NL"/>
        </w:rPr>
      </w:pPr>
      <w:r w:rsidRPr="00DC0E4B">
        <w:rPr>
          <w:lang w:val="nl-NL"/>
        </w:rPr>
        <w:t xml:space="preserve">Dit is op juiste wijze aangepast in het nieuwe artikel over ontbinding. </w:t>
      </w:r>
    </w:p>
    <w:p w14:paraId="072DA612" w14:textId="77777777" w:rsidR="00DC0E4B" w:rsidRPr="00DC0E4B" w:rsidRDefault="00DC0E4B" w:rsidP="00DC0E4B">
      <w:pPr>
        <w:rPr>
          <w:lang w:val="nl-NL"/>
        </w:rPr>
      </w:pPr>
      <w:r w:rsidRPr="00DC0E4B">
        <w:rPr>
          <w:lang w:val="nl-NL"/>
        </w:rPr>
        <w:t>Een bepaling over overmacht ontbrak in de AIVG 2017, aangezien dit een belangrijk onderwerp is hebben we daar een aantal bepalingen over opgenomen in de nieuwe AIVG 2021.</w:t>
      </w:r>
    </w:p>
    <w:p w14:paraId="7D48BE5A" w14:textId="6350F62D" w:rsidR="00DC0E4B" w:rsidRDefault="00DC0E4B" w:rsidP="00DC0E4B">
      <w:pPr>
        <w:rPr>
          <w:lang w:val="nl-NL"/>
        </w:rPr>
      </w:pPr>
      <w:r w:rsidRPr="00DC0E4B">
        <w:rPr>
          <w:lang w:val="nl-NL"/>
        </w:rPr>
        <w:t xml:space="preserve">Vanwege </w:t>
      </w:r>
      <w:r w:rsidR="00F3236B">
        <w:rPr>
          <w:lang w:val="nl-NL"/>
        </w:rPr>
        <w:t>duidelijkheid en samenhang</w:t>
      </w:r>
      <w:r w:rsidR="00F3236B" w:rsidRPr="00DC0E4B">
        <w:rPr>
          <w:lang w:val="nl-NL"/>
        </w:rPr>
        <w:t xml:space="preserve"> </w:t>
      </w:r>
      <w:r w:rsidRPr="00DC0E4B">
        <w:rPr>
          <w:lang w:val="nl-NL"/>
        </w:rPr>
        <w:t>is dat samengevoegd met de bepalingen over ontbinding.</w:t>
      </w:r>
    </w:p>
    <w:p w14:paraId="6D3016B1" w14:textId="05897EC6" w:rsidR="007A7425" w:rsidRDefault="007A7425" w:rsidP="00DC0E4B">
      <w:pPr>
        <w:rPr>
          <w:lang w:val="nl-NL"/>
        </w:rPr>
      </w:pPr>
      <w:r>
        <w:rPr>
          <w:lang w:val="nl-NL"/>
        </w:rPr>
        <w:lastRenderedPageBreak/>
        <w:t>In artikel 21.2 is toegevoegd dat Opdrachtgever redelijkheid en billijkheid zal betrachten bij ontbinding.</w:t>
      </w:r>
    </w:p>
    <w:p w14:paraId="06D1325F" w14:textId="19F71105" w:rsidR="00545F0B" w:rsidRDefault="00545F0B" w:rsidP="00DC0E4B">
      <w:pPr>
        <w:rPr>
          <w:lang w:val="nl-NL"/>
        </w:rPr>
      </w:pPr>
      <w:r>
        <w:rPr>
          <w:lang w:val="nl-NL"/>
        </w:rPr>
        <w:t>In artikel 21.6 is toeg</w:t>
      </w:r>
      <w:r w:rsidR="00197D2F">
        <w:rPr>
          <w:lang w:val="nl-NL"/>
        </w:rPr>
        <w:t>evoegd “</w:t>
      </w:r>
      <w:r w:rsidR="006D37D2" w:rsidRPr="006D37D2">
        <w:rPr>
          <w:lang w:val="nl-NL"/>
        </w:rPr>
        <w:t>tenzij er sprake is van surseance van betaling of faillissement van Opdrachtgever</w:t>
      </w:r>
      <w:r w:rsidR="006D37D2">
        <w:rPr>
          <w:lang w:val="nl-NL"/>
        </w:rPr>
        <w:t>”.</w:t>
      </w:r>
    </w:p>
    <w:p w14:paraId="3654A7A3" w14:textId="2E1DB725" w:rsidR="00AA3165" w:rsidRDefault="00AA3165" w:rsidP="00DC0E4B">
      <w:pPr>
        <w:rPr>
          <w:lang w:val="nl-NL"/>
        </w:rPr>
      </w:pPr>
      <w:r>
        <w:rPr>
          <w:lang w:val="nl-NL"/>
        </w:rPr>
        <w:t>21.8 Dit</w:t>
      </w:r>
      <w:r w:rsidRPr="00AA3165">
        <w:rPr>
          <w:lang w:val="nl-NL"/>
        </w:rPr>
        <w:t xml:space="preserve"> artikel voorziet in de mogelijkheid tot ontbinding indien er regels gebroken worden binnen nieuwe regelgeving. Over het algemeen worden wijzigingen van tevoren aangekondigd en is </w:t>
      </w:r>
      <w:r w:rsidR="0029490F" w:rsidRPr="00AA3165">
        <w:rPr>
          <w:lang w:val="nl-NL"/>
        </w:rPr>
        <w:t xml:space="preserve">het </w:t>
      </w:r>
      <w:r w:rsidRPr="00AA3165">
        <w:rPr>
          <w:lang w:val="nl-NL"/>
        </w:rPr>
        <w:t>ieders verantwoordelijkheid om hiervan op de hoogte te zijn en elkaar te informeren. Veranderingen van regels worden vaak uitgesteld ingevoerd (per</w:t>
      </w:r>
      <w:r w:rsidR="0029490F">
        <w:rPr>
          <w:lang w:val="nl-NL"/>
        </w:rPr>
        <w:t xml:space="preserve"> 1 juli bijvoorbeeld</w:t>
      </w:r>
      <w:r w:rsidRPr="00AA3165">
        <w:rPr>
          <w:lang w:val="nl-NL"/>
        </w:rPr>
        <w:t>)</w:t>
      </w:r>
      <w:r w:rsidR="0029490F">
        <w:rPr>
          <w:lang w:val="nl-NL"/>
        </w:rPr>
        <w:t>.</w:t>
      </w:r>
    </w:p>
    <w:p w14:paraId="07193A21" w14:textId="35D6E1C5" w:rsidR="006D37D2" w:rsidRDefault="00040862" w:rsidP="00DC0E4B">
      <w:pPr>
        <w:rPr>
          <w:lang w:val="nl-NL"/>
        </w:rPr>
      </w:pPr>
      <w:r>
        <w:rPr>
          <w:lang w:val="nl-NL"/>
        </w:rPr>
        <w:t>Artikelen 21.9 tot en met 21.12 zijn toegevoegd</w:t>
      </w:r>
      <w:r w:rsidR="00886952">
        <w:rPr>
          <w:lang w:val="nl-NL"/>
        </w:rPr>
        <w:t>:</w:t>
      </w:r>
    </w:p>
    <w:p w14:paraId="0FA01D4F" w14:textId="2B24E484" w:rsidR="00886952" w:rsidRDefault="00886952" w:rsidP="00DC0E4B">
      <w:pPr>
        <w:rPr>
          <w:lang w:val="nl-NL"/>
        </w:rPr>
      </w:pPr>
      <w:r>
        <w:rPr>
          <w:lang w:val="nl-NL"/>
        </w:rPr>
        <w:t>21.9 specificeert welke bepalingen van de AIVG geldig blijven na ontbinding</w:t>
      </w:r>
      <w:r w:rsidR="005E200A">
        <w:rPr>
          <w:lang w:val="nl-NL"/>
        </w:rPr>
        <w:t>.</w:t>
      </w:r>
    </w:p>
    <w:p w14:paraId="34FF5D0E" w14:textId="1C2E1E02" w:rsidR="00886952" w:rsidRPr="00DC0E4B" w:rsidRDefault="00886952" w:rsidP="00DC0E4B">
      <w:pPr>
        <w:rPr>
          <w:lang w:val="nl-NL"/>
        </w:rPr>
      </w:pPr>
      <w:r>
        <w:rPr>
          <w:lang w:val="nl-NL"/>
        </w:rPr>
        <w:t xml:space="preserve">21.10 t/m 21.12 </w:t>
      </w:r>
      <w:r w:rsidR="001C38A4">
        <w:rPr>
          <w:lang w:val="nl-NL"/>
        </w:rPr>
        <w:t>beschrijft nadere specificatie van de term ‘overmacht’.</w:t>
      </w:r>
    </w:p>
    <w:p w14:paraId="35C1ECED" w14:textId="77777777" w:rsidR="00DC0E4B" w:rsidRPr="00DC0E4B" w:rsidRDefault="00DC0E4B" w:rsidP="00DC0E4B">
      <w:pPr>
        <w:pStyle w:val="Kop2"/>
        <w:ind w:left="1080" w:hanging="720"/>
        <w:rPr>
          <w:lang w:val="nl-NL"/>
        </w:rPr>
      </w:pPr>
      <w:r w:rsidRPr="00DC0E4B">
        <w:rPr>
          <w:lang w:val="nl-NL"/>
        </w:rPr>
        <w:t>Artikel 22 Opzegging</w:t>
      </w:r>
    </w:p>
    <w:p w14:paraId="023430BF" w14:textId="4D6CC02E" w:rsidR="00DE08CD" w:rsidRDefault="00DC0E4B" w:rsidP="00DC0E4B">
      <w:pPr>
        <w:rPr>
          <w:lang w:val="nl-NL"/>
        </w:rPr>
      </w:pPr>
      <w:r w:rsidRPr="00DC0E4B">
        <w:rPr>
          <w:lang w:val="nl-NL"/>
        </w:rPr>
        <w:t>In het oude artikel AIVG 2017 werd gesproken over het onduidelijke begrip “duurovereenkomsten”. Dat was verwarrend en daarom vervangen door het begrip Overeenkomst voor onbepaalde tijd, of te wel overeenkomsten waarbij geen einddatum overeengekomen is. De opzegtermijn is verkort van 6 naar 4 maanden. Tevens is er bij dergelijke overeenkomsten een opzegmogelijkheid voor Leverancier toegevoegd, zij het, vanuit bedrijfszekerheidsoogpunt voor opdrachtgever, met een termijn van 12 maanden.</w:t>
      </w:r>
      <w:r w:rsidR="005C0292" w:rsidRPr="005C0292">
        <w:rPr>
          <w:lang w:val="nl-NL"/>
        </w:rPr>
        <w:t xml:space="preserve"> </w:t>
      </w:r>
      <w:r w:rsidR="005C0292">
        <w:rPr>
          <w:lang w:val="nl-NL"/>
        </w:rPr>
        <w:t>A</w:t>
      </w:r>
      <w:r w:rsidR="005C0292" w:rsidRPr="005C0292">
        <w:rPr>
          <w:lang w:val="nl-NL"/>
        </w:rPr>
        <w:t xml:space="preserve">utomatisch verlengende contracten </w:t>
      </w:r>
      <w:r w:rsidR="00D17549" w:rsidRPr="005C0292">
        <w:rPr>
          <w:lang w:val="nl-NL"/>
        </w:rPr>
        <w:t xml:space="preserve">zijn </w:t>
      </w:r>
      <w:r w:rsidR="005C0292" w:rsidRPr="005C0292">
        <w:rPr>
          <w:lang w:val="nl-NL"/>
        </w:rPr>
        <w:t>geen ‘onbepaalde tijd’ contracten.</w:t>
      </w:r>
    </w:p>
    <w:p w14:paraId="7E11A9CA" w14:textId="30149F51" w:rsidR="005C0292" w:rsidRDefault="005C0292" w:rsidP="00DC0E4B">
      <w:pPr>
        <w:rPr>
          <w:lang w:val="nl-NL"/>
        </w:rPr>
      </w:pPr>
      <w:r w:rsidRPr="005C0292">
        <w:rPr>
          <w:lang w:val="nl-NL"/>
        </w:rPr>
        <w:t>Korting die voor</w:t>
      </w:r>
      <w:r>
        <w:rPr>
          <w:lang w:val="nl-NL"/>
        </w:rPr>
        <w:t xml:space="preserve"> de opzegging ver</w:t>
      </w:r>
      <w:r w:rsidRPr="005C0292">
        <w:rPr>
          <w:lang w:val="nl-NL"/>
        </w:rPr>
        <w:t xml:space="preserve">rekend </w:t>
      </w:r>
      <w:r>
        <w:rPr>
          <w:lang w:val="nl-NL"/>
        </w:rPr>
        <w:t xml:space="preserve">is kan zijn </w:t>
      </w:r>
      <w:r w:rsidRPr="005C0292">
        <w:rPr>
          <w:lang w:val="nl-NL"/>
        </w:rPr>
        <w:t>uitgezonder</w:t>
      </w:r>
      <w:r>
        <w:rPr>
          <w:lang w:val="nl-NL"/>
        </w:rPr>
        <w:t>d gezien de Overeenkomst en dient dan door de Opdrachtgever terugbetaald te worden</w:t>
      </w:r>
      <w:r w:rsidRPr="005C0292">
        <w:rPr>
          <w:lang w:val="nl-NL"/>
        </w:rPr>
        <w:t xml:space="preserve">. </w:t>
      </w:r>
    </w:p>
    <w:p w14:paraId="405F1141" w14:textId="11290649" w:rsidR="00F740D3" w:rsidRDefault="00F740D3" w:rsidP="00F740D3">
      <w:pPr>
        <w:pStyle w:val="Kop2"/>
        <w:ind w:left="1080" w:hanging="720"/>
        <w:rPr>
          <w:lang w:val="nl-NL"/>
        </w:rPr>
      </w:pPr>
      <w:r>
        <w:rPr>
          <w:lang w:val="nl-NL"/>
        </w:rPr>
        <w:t xml:space="preserve">Artikel 23 </w:t>
      </w:r>
      <w:r w:rsidR="0087779F" w:rsidRPr="0087779F">
        <w:rPr>
          <w:lang w:val="nl-NL"/>
        </w:rPr>
        <w:t>Voortdurende verplichtingen</w:t>
      </w:r>
    </w:p>
    <w:p w14:paraId="258F9B3C" w14:textId="3401162F" w:rsidR="00807617" w:rsidRDefault="003103BC" w:rsidP="00807617">
      <w:pPr>
        <w:rPr>
          <w:b/>
          <w:i/>
          <w:lang w:val="nl-NL"/>
        </w:rPr>
      </w:pPr>
      <w:r>
        <w:rPr>
          <w:lang w:val="nl-NL"/>
        </w:rPr>
        <w:t xml:space="preserve">Artikel is nader gespecificeerd voor de beschikbaarheid van Reserveonderdelen. </w:t>
      </w:r>
    </w:p>
    <w:p w14:paraId="32E204F4" w14:textId="0AA00251" w:rsidR="0087779F" w:rsidRDefault="0087779F" w:rsidP="00807617">
      <w:pPr>
        <w:pStyle w:val="Kop2"/>
        <w:ind w:left="1080" w:hanging="720"/>
        <w:rPr>
          <w:lang w:val="nl-NL"/>
        </w:rPr>
      </w:pPr>
      <w:r>
        <w:rPr>
          <w:lang w:val="nl-NL"/>
        </w:rPr>
        <w:t xml:space="preserve">Artikel 24 </w:t>
      </w:r>
      <w:r w:rsidR="000A006C" w:rsidRPr="000A006C">
        <w:rPr>
          <w:lang w:val="nl-NL"/>
        </w:rPr>
        <w:t>Toepasselijk recht en geschillen</w:t>
      </w:r>
    </w:p>
    <w:p w14:paraId="3785A429" w14:textId="34090A54" w:rsidR="000A006C" w:rsidRDefault="00A4455E" w:rsidP="000A006C">
      <w:pPr>
        <w:rPr>
          <w:lang w:val="nl-NL"/>
        </w:rPr>
      </w:pPr>
      <w:r>
        <w:rPr>
          <w:lang w:val="nl-NL"/>
        </w:rPr>
        <w:t>Geen wijzigingen.</w:t>
      </w:r>
    </w:p>
    <w:p w14:paraId="6CD8F297" w14:textId="30410558" w:rsidR="00FE1184" w:rsidRDefault="00FE1184" w:rsidP="0027313C">
      <w:pPr>
        <w:pStyle w:val="Kop2"/>
        <w:ind w:left="1080" w:hanging="720"/>
        <w:rPr>
          <w:lang w:val="nl-NL"/>
        </w:rPr>
      </w:pPr>
      <w:r>
        <w:rPr>
          <w:lang w:val="nl-NL"/>
        </w:rPr>
        <w:t xml:space="preserve">Artikel 25 </w:t>
      </w:r>
      <w:r w:rsidR="0027313C" w:rsidRPr="0027313C">
        <w:rPr>
          <w:lang w:val="nl-NL"/>
        </w:rPr>
        <w:t>Procedure voor zicht- of proefzending/plaatsing</w:t>
      </w:r>
    </w:p>
    <w:p w14:paraId="6A555377" w14:textId="7948C341" w:rsidR="00A1358C" w:rsidRDefault="00A1358C" w:rsidP="0027313C">
      <w:pPr>
        <w:rPr>
          <w:lang w:val="nl-NL"/>
        </w:rPr>
      </w:pPr>
      <w:r>
        <w:rPr>
          <w:lang w:val="nl-NL"/>
        </w:rPr>
        <w:t xml:space="preserve">Artikelen 25, 26 en 27 zijn in deze nieuwe AIVG anders ingedeeld (gecombineerd/aangepast) om </w:t>
      </w:r>
      <w:r w:rsidR="008877F8">
        <w:rPr>
          <w:lang w:val="nl-NL"/>
        </w:rPr>
        <w:t>meer</w:t>
      </w:r>
      <w:r>
        <w:rPr>
          <w:lang w:val="nl-NL"/>
        </w:rPr>
        <w:t xml:space="preserve"> duidelijkheid voor </w:t>
      </w:r>
      <w:r w:rsidR="008877F8">
        <w:rPr>
          <w:lang w:val="nl-NL"/>
        </w:rPr>
        <w:t>B</w:t>
      </w:r>
      <w:r>
        <w:rPr>
          <w:lang w:val="nl-NL"/>
        </w:rPr>
        <w:t xml:space="preserve">ruikleen en </w:t>
      </w:r>
      <w:r w:rsidR="008877F8">
        <w:rPr>
          <w:lang w:val="nl-NL"/>
        </w:rPr>
        <w:t>C</w:t>
      </w:r>
      <w:r>
        <w:rPr>
          <w:lang w:val="nl-NL"/>
        </w:rPr>
        <w:t>onsignatie aan te geven, inclusief een aanpassing naar de huidige praktijk. Artikel 27 is gesplitst.</w:t>
      </w:r>
    </w:p>
    <w:p w14:paraId="5CD21971" w14:textId="59B77B54" w:rsidR="00A757CD" w:rsidRDefault="008877F8" w:rsidP="00A757CD">
      <w:pPr>
        <w:rPr>
          <w:lang w:val="nl-NL"/>
        </w:rPr>
      </w:pPr>
      <w:r>
        <w:rPr>
          <w:lang w:val="nl-NL"/>
        </w:rPr>
        <w:t>A</w:t>
      </w:r>
      <w:r w:rsidRPr="008877F8">
        <w:rPr>
          <w:lang w:val="nl-NL"/>
        </w:rPr>
        <w:t xml:space="preserve">rtikel 25 </w:t>
      </w:r>
      <w:r>
        <w:rPr>
          <w:lang w:val="nl-NL"/>
        </w:rPr>
        <w:t>is er t.b.v.</w:t>
      </w:r>
      <w:r w:rsidRPr="008877F8">
        <w:rPr>
          <w:lang w:val="nl-NL"/>
        </w:rPr>
        <w:t xml:space="preserve"> eenvoudige </w:t>
      </w:r>
      <w:r>
        <w:rPr>
          <w:lang w:val="nl-NL"/>
        </w:rPr>
        <w:t>Z</w:t>
      </w:r>
      <w:r w:rsidRPr="008877F8">
        <w:rPr>
          <w:lang w:val="nl-NL"/>
        </w:rPr>
        <w:t>icht- of proefzendingen/plaatsingen zoals een bureaustoel of enkele knie-implantaten waarvan er ook weer enkele retour kunnen gaan</w:t>
      </w:r>
      <w:r>
        <w:rPr>
          <w:lang w:val="nl-NL"/>
        </w:rPr>
        <w:t>. Voor meer complexe Z</w:t>
      </w:r>
      <w:r w:rsidRPr="008877F8">
        <w:rPr>
          <w:lang w:val="nl-NL"/>
        </w:rPr>
        <w:t>icht- of proefzendingen/plaatsingen</w:t>
      </w:r>
      <w:r>
        <w:rPr>
          <w:lang w:val="nl-NL"/>
        </w:rPr>
        <w:t xml:space="preserve"> wordt </w:t>
      </w:r>
      <w:r w:rsidRPr="008877F8">
        <w:rPr>
          <w:lang w:val="nl-NL"/>
        </w:rPr>
        <w:t xml:space="preserve">de Module voor medische zicht- of proefzending/plaatsing </w:t>
      </w:r>
      <w:proofErr w:type="spellStart"/>
      <w:r>
        <w:rPr>
          <w:lang w:val="nl-NL"/>
        </w:rPr>
        <w:t>onywikkled</w:t>
      </w:r>
      <w:proofErr w:type="spellEnd"/>
      <w:r w:rsidRPr="008877F8">
        <w:rPr>
          <w:lang w:val="nl-NL"/>
        </w:rPr>
        <w:t>.</w:t>
      </w:r>
    </w:p>
    <w:p w14:paraId="0C9848E8" w14:textId="55D9FBE9" w:rsidR="00A060A3" w:rsidRDefault="00A060A3" w:rsidP="00A060A3">
      <w:pPr>
        <w:pStyle w:val="Kop2"/>
        <w:ind w:left="1080" w:hanging="720"/>
        <w:rPr>
          <w:lang w:val="nl-NL"/>
        </w:rPr>
      </w:pPr>
      <w:r>
        <w:rPr>
          <w:lang w:val="nl-NL"/>
        </w:rPr>
        <w:t xml:space="preserve">Artikel 26 </w:t>
      </w:r>
      <w:r w:rsidRPr="000C70C8">
        <w:rPr>
          <w:lang w:val="nl-NL"/>
        </w:rPr>
        <w:t xml:space="preserve">Eigendom en risico bij </w:t>
      </w:r>
      <w:r w:rsidR="00300F71">
        <w:rPr>
          <w:lang w:val="nl-NL"/>
        </w:rPr>
        <w:t>B</w:t>
      </w:r>
      <w:r w:rsidR="00300F71" w:rsidRPr="000C70C8">
        <w:rPr>
          <w:lang w:val="nl-NL"/>
        </w:rPr>
        <w:t>ruikleen</w:t>
      </w:r>
    </w:p>
    <w:p w14:paraId="02B4062B" w14:textId="08E1FFAA" w:rsidR="000F2649" w:rsidRDefault="000F2649" w:rsidP="00A1358C">
      <w:pPr>
        <w:rPr>
          <w:lang w:val="nl-NL"/>
        </w:rPr>
      </w:pPr>
      <w:r>
        <w:rPr>
          <w:lang w:val="nl-NL"/>
        </w:rPr>
        <w:t xml:space="preserve">Begrip </w:t>
      </w:r>
      <w:r w:rsidR="008877F8">
        <w:rPr>
          <w:lang w:val="nl-NL"/>
        </w:rPr>
        <w:t>B</w:t>
      </w:r>
      <w:r>
        <w:rPr>
          <w:lang w:val="nl-NL"/>
        </w:rPr>
        <w:t xml:space="preserve">ruikleen is </w:t>
      </w:r>
      <w:r w:rsidR="008877F8">
        <w:rPr>
          <w:lang w:val="nl-NL"/>
        </w:rPr>
        <w:t xml:space="preserve">als definitie opgenomen en </w:t>
      </w:r>
      <w:r>
        <w:rPr>
          <w:lang w:val="nl-NL"/>
        </w:rPr>
        <w:t>nader verduidelijkt in artikel 26.</w:t>
      </w:r>
    </w:p>
    <w:p w14:paraId="6113F469" w14:textId="4626C059" w:rsidR="00A1358C" w:rsidRPr="00A4455E" w:rsidRDefault="00A1358C" w:rsidP="00A1358C">
      <w:pPr>
        <w:rPr>
          <w:lang w:val="nl-NL"/>
        </w:rPr>
      </w:pPr>
      <w:r w:rsidRPr="00A4455E">
        <w:rPr>
          <w:lang w:val="nl-NL"/>
        </w:rPr>
        <w:lastRenderedPageBreak/>
        <w:t xml:space="preserve">In de </w:t>
      </w:r>
      <w:r w:rsidR="00D50172">
        <w:rPr>
          <w:lang w:val="nl-NL"/>
        </w:rPr>
        <w:t xml:space="preserve">vorige </w:t>
      </w:r>
      <w:r w:rsidRPr="00A4455E">
        <w:rPr>
          <w:lang w:val="nl-NL"/>
        </w:rPr>
        <w:t xml:space="preserve">AIVG was er een artikel 27 over Eigendom en risico bij consignatie en bruikleen. Nu is dat gesplitst. Artikel 26 gaat over Eigendom en risico bij </w:t>
      </w:r>
      <w:r w:rsidR="008877F8">
        <w:rPr>
          <w:lang w:val="nl-NL"/>
        </w:rPr>
        <w:t>B</w:t>
      </w:r>
      <w:r w:rsidRPr="00A4455E">
        <w:rPr>
          <w:lang w:val="nl-NL"/>
        </w:rPr>
        <w:t xml:space="preserve">ruikleen. Artikel 27 gaat over Eigendom en risico bij </w:t>
      </w:r>
      <w:r w:rsidR="008877F8">
        <w:rPr>
          <w:lang w:val="nl-NL"/>
        </w:rPr>
        <w:t>C</w:t>
      </w:r>
      <w:r w:rsidRPr="00A4455E">
        <w:rPr>
          <w:lang w:val="nl-NL"/>
        </w:rPr>
        <w:t>onsignatie. Het oude artikel 27.8 is nu 26.1 geworden. De splitsing is gemaakt om duidelijkheid te geven aan het verschil bij bruikleen versus Consignatie.</w:t>
      </w:r>
    </w:p>
    <w:p w14:paraId="7C79E217" w14:textId="2EDEF501" w:rsidR="00A060A3" w:rsidRDefault="00A060A3" w:rsidP="00A060A3">
      <w:pPr>
        <w:pStyle w:val="Kop2"/>
        <w:ind w:left="1080" w:hanging="720"/>
        <w:rPr>
          <w:lang w:val="nl-NL"/>
        </w:rPr>
      </w:pPr>
      <w:r w:rsidRPr="00CF6ABA">
        <w:rPr>
          <w:lang w:val="nl-NL"/>
        </w:rPr>
        <w:t xml:space="preserve">Artikel 27 Eigendom en risico bij </w:t>
      </w:r>
      <w:r w:rsidR="00300F71">
        <w:rPr>
          <w:lang w:val="nl-NL"/>
        </w:rPr>
        <w:t>C</w:t>
      </w:r>
      <w:r w:rsidR="00300F71" w:rsidRPr="00CF6ABA">
        <w:rPr>
          <w:lang w:val="nl-NL"/>
        </w:rPr>
        <w:t>onsignatie</w:t>
      </w:r>
    </w:p>
    <w:p w14:paraId="39EBC976" w14:textId="43C0E71B" w:rsidR="00A1358C" w:rsidRDefault="00A1358C" w:rsidP="00A1358C">
      <w:pPr>
        <w:rPr>
          <w:lang w:val="nl-NL"/>
        </w:rPr>
      </w:pPr>
      <w:r w:rsidRPr="00A4455E">
        <w:rPr>
          <w:lang w:val="nl-NL"/>
        </w:rPr>
        <w:t xml:space="preserve">27.6. </w:t>
      </w:r>
      <w:r w:rsidR="000F2649">
        <w:rPr>
          <w:lang w:val="nl-NL"/>
        </w:rPr>
        <w:t>T</w:t>
      </w:r>
      <w:r w:rsidRPr="00A4455E">
        <w:rPr>
          <w:lang w:val="nl-NL"/>
        </w:rPr>
        <w:t>oegevoegd</w:t>
      </w:r>
      <w:r w:rsidR="000F2649">
        <w:rPr>
          <w:lang w:val="nl-NL"/>
        </w:rPr>
        <w:t xml:space="preserve">: </w:t>
      </w:r>
      <w:r w:rsidRPr="00A4455E">
        <w:rPr>
          <w:lang w:val="nl-NL"/>
        </w:rPr>
        <w:t xml:space="preserve">bij een </w:t>
      </w:r>
      <w:proofErr w:type="spellStart"/>
      <w:r w:rsidRPr="00A4455E">
        <w:rPr>
          <w:lang w:val="nl-NL"/>
        </w:rPr>
        <w:t>recall</w:t>
      </w:r>
      <w:proofErr w:type="spellEnd"/>
      <w:r w:rsidRPr="00A4455E">
        <w:rPr>
          <w:lang w:val="nl-NL"/>
        </w:rPr>
        <w:t xml:space="preserve"> </w:t>
      </w:r>
      <w:r w:rsidR="000F2649">
        <w:rPr>
          <w:lang w:val="nl-NL"/>
        </w:rPr>
        <w:t xml:space="preserve">worden de </w:t>
      </w:r>
      <w:r w:rsidRPr="00A4455E">
        <w:rPr>
          <w:lang w:val="nl-NL"/>
        </w:rPr>
        <w:t>bepalingen van 12.2 en 12.3 gevolgd.</w:t>
      </w:r>
    </w:p>
    <w:p w14:paraId="5A6EC3C2" w14:textId="6614FB37" w:rsidR="00300F71" w:rsidRPr="00A4455E" w:rsidRDefault="00300F71" w:rsidP="00A1358C">
      <w:pPr>
        <w:rPr>
          <w:lang w:val="nl-NL"/>
        </w:rPr>
      </w:pPr>
      <w:r>
        <w:rPr>
          <w:lang w:val="nl-NL"/>
        </w:rPr>
        <w:t xml:space="preserve">27.7 De </w:t>
      </w:r>
      <w:r w:rsidRPr="00300F71">
        <w:rPr>
          <w:lang w:val="nl-NL"/>
        </w:rPr>
        <w:t>14 kalenderdagen gaan pas in nadat er sprake is van goedkeuring en ingebruikname</w:t>
      </w:r>
      <w:r>
        <w:rPr>
          <w:lang w:val="nl-NL"/>
        </w:rPr>
        <w:t>.</w:t>
      </w:r>
    </w:p>
    <w:p w14:paraId="0FFE0DD5" w14:textId="48F1D70F" w:rsidR="00E5777A" w:rsidRDefault="00BF56AC" w:rsidP="00BF56AC">
      <w:pPr>
        <w:pStyle w:val="Kop2"/>
        <w:ind w:left="1080" w:hanging="720"/>
        <w:rPr>
          <w:lang w:val="nl-NL"/>
        </w:rPr>
      </w:pPr>
      <w:r w:rsidRPr="00BF56AC">
        <w:rPr>
          <w:lang w:val="nl-NL"/>
        </w:rPr>
        <w:t>Artikel 28 Personeel, apparatuur en materialen</w:t>
      </w:r>
    </w:p>
    <w:p w14:paraId="00D43B56" w14:textId="082F352E" w:rsidR="00BF56AC" w:rsidRDefault="00A24AF0" w:rsidP="00BF56AC">
      <w:pPr>
        <w:rPr>
          <w:lang w:val="nl-NL"/>
        </w:rPr>
      </w:pPr>
      <w:r>
        <w:rPr>
          <w:lang w:val="nl-NL"/>
        </w:rPr>
        <w:t>Kleine tekstuele wijziging ter verduidelijking (‘bevoegd en bekwaam’).</w:t>
      </w:r>
    </w:p>
    <w:p w14:paraId="77B4C103" w14:textId="3C60F24D" w:rsidR="002E3DA3" w:rsidRDefault="00B472CF" w:rsidP="00B472CF">
      <w:pPr>
        <w:pStyle w:val="Kop2"/>
        <w:ind w:left="1080" w:hanging="720"/>
        <w:rPr>
          <w:lang w:val="nl-NL"/>
        </w:rPr>
      </w:pPr>
      <w:r w:rsidRPr="00B472CF">
        <w:rPr>
          <w:lang w:val="nl-NL"/>
        </w:rPr>
        <w:t>Artikel 29 Terrein, gebouwen en infrastructuur van Opdrachtgever</w:t>
      </w:r>
    </w:p>
    <w:p w14:paraId="6E3C3DA0" w14:textId="2C87293B" w:rsidR="00B472CF" w:rsidRDefault="00FB2454" w:rsidP="00B472CF">
      <w:pPr>
        <w:rPr>
          <w:lang w:val="nl-NL"/>
        </w:rPr>
      </w:pPr>
      <w:r>
        <w:rPr>
          <w:lang w:val="nl-NL"/>
        </w:rPr>
        <w:t>Dit artikel is uitgebreid</w:t>
      </w:r>
      <w:r w:rsidR="004B6BDD">
        <w:rPr>
          <w:lang w:val="nl-NL"/>
        </w:rPr>
        <w:t xml:space="preserve">, meer in lijn van de richtlijnen van de Universitaire centra (NFU). Samengevat: het moet van tevoren duidelijk zijn welke werkzaamheden uitgevoerd gaan worden. Indien deze </w:t>
      </w:r>
      <w:r w:rsidR="008B194C">
        <w:rPr>
          <w:lang w:val="nl-NL"/>
        </w:rPr>
        <w:t>van invloed zijn op de dagelijkse werkzaamheden, moet dit op voorhand onderling overeengekomen en gepland worden, om onverwachte interrupties van de bedrijfsprocessen bij de opdrachtgever te voorkomen.</w:t>
      </w:r>
    </w:p>
    <w:p w14:paraId="7B66DCF3" w14:textId="4840BF96" w:rsidR="00B472CF" w:rsidRDefault="00092C4B" w:rsidP="00092C4B">
      <w:pPr>
        <w:pStyle w:val="Kop2"/>
        <w:ind w:left="1080" w:hanging="720"/>
        <w:rPr>
          <w:lang w:val="nl-NL"/>
        </w:rPr>
      </w:pPr>
      <w:r w:rsidRPr="00092C4B">
        <w:rPr>
          <w:lang w:val="nl-NL"/>
        </w:rPr>
        <w:t>Artikel 30. Veiligheid, Milieu en maatschappelijk verantwoord ondernemen</w:t>
      </w:r>
    </w:p>
    <w:p w14:paraId="7702BD8C" w14:textId="7F5E8D84" w:rsidR="00092C4B" w:rsidRPr="00092C4B" w:rsidRDefault="00092C4B" w:rsidP="00092C4B">
      <w:pPr>
        <w:rPr>
          <w:lang w:val="nl-NL"/>
        </w:rPr>
      </w:pPr>
      <w:r>
        <w:rPr>
          <w:lang w:val="nl-NL"/>
        </w:rPr>
        <w:t xml:space="preserve">Dit hele artikel is als nieuw artikel toegevoegd. </w:t>
      </w:r>
      <w:r w:rsidR="00375D50">
        <w:rPr>
          <w:lang w:val="nl-NL"/>
        </w:rPr>
        <w:t xml:space="preserve">De term Grondstoffenpaspoort is ook opgenomen in de definitie lijst. </w:t>
      </w:r>
      <w:r w:rsidR="00E67C62">
        <w:rPr>
          <w:lang w:val="nl-NL"/>
        </w:rPr>
        <w:t>Deze voorwaarden zijn meer en meer gangbaar in moderne contracten</w:t>
      </w:r>
      <w:r w:rsidR="00761BC6">
        <w:rPr>
          <w:lang w:val="nl-NL"/>
        </w:rPr>
        <w:t xml:space="preserve"> en wordt </w:t>
      </w:r>
      <w:r w:rsidR="008939FF">
        <w:rPr>
          <w:lang w:val="nl-NL"/>
        </w:rPr>
        <w:t>geëist</w:t>
      </w:r>
      <w:r w:rsidR="00761BC6">
        <w:rPr>
          <w:lang w:val="nl-NL"/>
        </w:rPr>
        <w:t xml:space="preserve"> door opdrachtgevers en bij aanbestedingstrajecten</w:t>
      </w:r>
      <w:r w:rsidR="00E67C62">
        <w:rPr>
          <w:lang w:val="nl-NL"/>
        </w:rPr>
        <w:t xml:space="preserve">. </w:t>
      </w:r>
      <w:r w:rsidR="00153EF0">
        <w:rPr>
          <w:lang w:val="nl-NL"/>
        </w:rPr>
        <w:t>Er zijn</w:t>
      </w:r>
      <w:r w:rsidR="00761BC6">
        <w:rPr>
          <w:lang w:val="nl-NL"/>
        </w:rPr>
        <w:t xml:space="preserve"> op dit moment praktische bezwaren</w:t>
      </w:r>
      <w:r w:rsidR="00153EF0">
        <w:rPr>
          <w:lang w:val="nl-NL"/>
        </w:rPr>
        <w:t xml:space="preserve"> om strikte verplichting </w:t>
      </w:r>
      <w:r w:rsidR="00761BC6">
        <w:rPr>
          <w:lang w:val="nl-NL"/>
        </w:rPr>
        <w:t>af te dwingen</w:t>
      </w:r>
      <w:r w:rsidR="00153EF0">
        <w:rPr>
          <w:lang w:val="nl-NL"/>
        </w:rPr>
        <w:t xml:space="preserve">, maar de </w:t>
      </w:r>
      <w:r w:rsidR="00441C9B">
        <w:rPr>
          <w:lang w:val="nl-NL"/>
        </w:rPr>
        <w:t>bewustwording</w:t>
      </w:r>
      <w:r w:rsidR="008939FF">
        <w:rPr>
          <w:lang w:val="nl-NL"/>
        </w:rPr>
        <w:t xml:space="preserve"> en het streven ernaartoe </w:t>
      </w:r>
      <w:r w:rsidR="00646388">
        <w:rPr>
          <w:lang w:val="nl-NL"/>
        </w:rPr>
        <w:t>moet opgenomen zijn</w:t>
      </w:r>
      <w:r w:rsidR="00BD2701">
        <w:rPr>
          <w:lang w:val="nl-NL"/>
        </w:rPr>
        <w:t>.</w:t>
      </w:r>
      <w:r w:rsidR="00300F71">
        <w:rPr>
          <w:rStyle w:val="Voetnootmarkering"/>
          <w:lang w:val="nl-NL"/>
        </w:rPr>
        <w:footnoteReference w:id="4"/>
      </w:r>
    </w:p>
    <w:sectPr w:rsidR="00092C4B" w:rsidRPr="00092C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EA8E7" w14:textId="77777777" w:rsidR="00E17588" w:rsidRDefault="00E17588" w:rsidP="00E17588">
      <w:pPr>
        <w:spacing w:after="0" w:line="240" w:lineRule="auto"/>
      </w:pPr>
      <w:r>
        <w:separator/>
      </w:r>
    </w:p>
  </w:endnote>
  <w:endnote w:type="continuationSeparator" w:id="0">
    <w:p w14:paraId="0BB8ED11" w14:textId="77777777" w:rsidR="00E17588" w:rsidRDefault="00E17588" w:rsidP="00E17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4E1C" w14:textId="77777777" w:rsidR="000A298A" w:rsidRDefault="000A29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4EB9" w14:textId="77777777" w:rsidR="000A298A" w:rsidRDefault="000A29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4E2E" w14:textId="77777777" w:rsidR="000A298A" w:rsidRDefault="000A29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8382D" w14:textId="77777777" w:rsidR="00E17588" w:rsidRDefault="00E17588" w:rsidP="00E17588">
      <w:pPr>
        <w:spacing w:after="0" w:line="240" w:lineRule="auto"/>
      </w:pPr>
      <w:r>
        <w:separator/>
      </w:r>
    </w:p>
  </w:footnote>
  <w:footnote w:type="continuationSeparator" w:id="0">
    <w:p w14:paraId="232E66C3" w14:textId="77777777" w:rsidR="00E17588" w:rsidRDefault="00E17588" w:rsidP="00E17588">
      <w:pPr>
        <w:spacing w:after="0" w:line="240" w:lineRule="auto"/>
      </w:pPr>
      <w:r>
        <w:continuationSeparator/>
      </w:r>
    </w:p>
  </w:footnote>
  <w:footnote w:id="1">
    <w:p w14:paraId="45F9F689" w14:textId="76DE78DB" w:rsidR="00E17588" w:rsidRPr="008877F8" w:rsidRDefault="00E17588">
      <w:pPr>
        <w:pStyle w:val="Voetnoottekst"/>
        <w:rPr>
          <w:lang w:val="nl-NL"/>
        </w:rPr>
      </w:pPr>
      <w:r>
        <w:rPr>
          <w:rStyle w:val="Voetnootmarkering"/>
        </w:rPr>
        <w:footnoteRef/>
      </w:r>
      <w:r w:rsidRPr="008877F8">
        <w:rPr>
          <w:lang w:val="nl-NL"/>
        </w:rPr>
        <w:t xml:space="preserve"> </w:t>
      </w:r>
      <w:r>
        <w:rPr>
          <w:lang w:val="nl-NL"/>
        </w:rPr>
        <w:t xml:space="preserve">Bij de AIVG zijn er aanvullende modules voor ICT, PNIL, MVI, Geneesmiddelen en </w:t>
      </w:r>
      <w:r w:rsidRPr="00E17588">
        <w:rPr>
          <w:lang w:val="nl-NL"/>
        </w:rPr>
        <w:t>Medische zicht- of proefzending/plaatsing</w:t>
      </w:r>
    </w:p>
  </w:footnote>
  <w:footnote w:id="2">
    <w:p w14:paraId="5EB169F7" w14:textId="53DE8D23" w:rsidR="00D17549" w:rsidRPr="008877F8" w:rsidRDefault="00D17549">
      <w:pPr>
        <w:pStyle w:val="Voetnoottekst"/>
        <w:rPr>
          <w:lang w:val="nl-NL"/>
        </w:rPr>
      </w:pPr>
      <w:r>
        <w:rPr>
          <w:rStyle w:val="Voetnootmarkering"/>
        </w:rPr>
        <w:footnoteRef/>
      </w:r>
      <w:r w:rsidRPr="008877F8">
        <w:rPr>
          <w:lang w:val="nl-NL"/>
        </w:rPr>
        <w:t xml:space="preserve"> </w:t>
      </w:r>
      <w:r>
        <w:rPr>
          <w:lang w:val="nl-NL"/>
        </w:rPr>
        <w:t>Er is niet gekozen voor het woord “koper” omdat zowel koop als opdrachten onder de AIVG vallen.</w:t>
      </w:r>
    </w:p>
  </w:footnote>
  <w:footnote w:id="3">
    <w:p w14:paraId="20B7E2C0" w14:textId="6D625306" w:rsidR="00AA3165" w:rsidRPr="00AA3165" w:rsidRDefault="00AA3165">
      <w:pPr>
        <w:pStyle w:val="Voetnoottekst"/>
        <w:rPr>
          <w:lang w:val="nl-NL"/>
        </w:rPr>
      </w:pPr>
      <w:r>
        <w:rPr>
          <w:rStyle w:val="Voetnootmarkering"/>
        </w:rPr>
        <w:footnoteRef/>
      </w:r>
      <w:r w:rsidRPr="00AA3165">
        <w:rPr>
          <w:lang w:val="nl-NL"/>
        </w:rPr>
        <w:t xml:space="preserve"> </w:t>
      </w:r>
      <w:r w:rsidR="000A298A">
        <w:fldChar w:fldCharType="begin"/>
      </w:r>
      <w:r w:rsidR="000A298A" w:rsidRPr="000A298A">
        <w:rPr>
          <w:lang w:val="nl-NL"/>
        </w:rPr>
        <w:instrText xml:space="preserve"> HYPERLINK "https://www.brancheorganisatieszorg.nl/nieuws_list/modelverwerkersovereenkomst-voor-de-zorgsector/" </w:instrText>
      </w:r>
      <w:r w:rsidR="000A298A">
        <w:fldChar w:fldCharType="separate"/>
      </w:r>
      <w:r w:rsidRPr="00BE318A">
        <w:rPr>
          <w:rStyle w:val="Hyperlink"/>
          <w:lang w:val="nl-NL"/>
        </w:rPr>
        <w:t>https://www.brancheorganisatieszorg.nl/nieuws_list/modelverwerkersovereenkomst-voor-de-zorgsector/</w:t>
      </w:r>
      <w:r w:rsidR="000A298A">
        <w:rPr>
          <w:rStyle w:val="Hyperlink"/>
          <w:lang w:val="nl-NL"/>
        </w:rPr>
        <w:fldChar w:fldCharType="end"/>
      </w:r>
      <w:r>
        <w:rPr>
          <w:lang w:val="nl-NL"/>
        </w:rPr>
        <w:t xml:space="preserve"> </w:t>
      </w:r>
    </w:p>
  </w:footnote>
  <w:footnote w:id="4">
    <w:p w14:paraId="3C577651" w14:textId="068FEE64" w:rsidR="00300F71" w:rsidRPr="008877F8" w:rsidRDefault="00300F71">
      <w:pPr>
        <w:pStyle w:val="Voetnoottekst"/>
        <w:rPr>
          <w:lang w:val="nl-NL"/>
        </w:rPr>
      </w:pPr>
      <w:r>
        <w:rPr>
          <w:rStyle w:val="Voetnootmarkering"/>
        </w:rPr>
        <w:footnoteRef/>
      </w:r>
      <w:r w:rsidRPr="008877F8">
        <w:rPr>
          <w:lang w:val="nl-NL"/>
        </w:rPr>
        <w:t xml:space="preserve"> </w:t>
      </w:r>
      <w:r>
        <w:rPr>
          <w:lang w:val="nl-NL"/>
        </w:rPr>
        <w:t>Zie ook de aansluitende Module MVI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9C99" w14:textId="64FE395C" w:rsidR="000A298A" w:rsidRDefault="000A298A">
    <w:pPr>
      <w:pStyle w:val="Koptekst"/>
    </w:pPr>
    <w:r>
      <w:rPr>
        <w:noProof/>
      </w:rPr>
      <w:pict w14:anchorId="61A72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37204" o:spid="_x0000_s2050" type="#_x0000_t136" style="position:absolute;margin-left:0;margin-top:0;width:573.75pt;height:86.05pt;rotation:315;z-index:-251655168;mso-position-horizontal:center;mso-position-horizontal-relative:margin;mso-position-vertical:center;mso-position-vertical-relative:margin" o:allowincell="f" fillcolor="silver" stroked="f">
          <v:fill opacity=".5"/>
          <v:textpath style="font-family:&quot;Calibri&quot;;font-size:1pt" string="CONSULTATIEDOCUM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D137" w14:textId="11BBAE0C" w:rsidR="000A298A" w:rsidRDefault="000A298A">
    <w:pPr>
      <w:pStyle w:val="Koptekst"/>
    </w:pPr>
    <w:r>
      <w:rPr>
        <w:noProof/>
      </w:rPr>
      <w:pict w14:anchorId="1DAD0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37205" o:spid="_x0000_s2051" type="#_x0000_t136" style="position:absolute;margin-left:0;margin-top:0;width:573.75pt;height:86.05pt;rotation:315;z-index:-251653120;mso-position-horizontal:center;mso-position-horizontal-relative:margin;mso-position-vertical:center;mso-position-vertical-relative:margin" o:allowincell="f" fillcolor="silver" stroked="f">
          <v:fill opacity=".5"/>
          <v:textpath style="font-family:&quot;Calibri&quot;;font-size:1pt" string="CONSULTATIEDOCUME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56CD" w14:textId="3BCC0D56" w:rsidR="000A298A" w:rsidRDefault="000A298A">
    <w:pPr>
      <w:pStyle w:val="Koptekst"/>
    </w:pPr>
    <w:r>
      <w:rPr>
        <w:noProof/>
      </w:rPr>
      <w:pict w14:anchorId="5313D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37203" o:spid="_x0000_s2049" type="#_x0000_t136" style="position:absolute;margin-left:0;margin-top:0;width:573.75pt;height:86.05pt;rotation:315;z-index:-251657216;mso-position-horizontal:center;mso-position-horizontal-relative:margin;mso-position-vertical:center;mso-position-vertical-relative:margin" o:allowincell="f" fillcolor="silver" stroked="f">
          <v:fill opacity=".5"/>
          <v:textpath style="font-family:&quot;Calibri&quot;;font-size:1pt" string="CONSULTATIEDOCUME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538F3"/>
    <w:multiLevelType w:val="hybridMultilevel"/>
    <w:tmpl w:val="ABBE0D76"/>
    <w:lvl w:ilvl="0" w:tplc="B016D9B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C5E3A"/>
    <w:multiLevelType w:val="hybridMultilevel"/>
    <w:tmpl w:val="250CC742"/>
    <w:lvl w:ilvl="0" w:tplc="F52081A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F86F69"/>
    <w:multiLevelType w:val="hybridMultilevel"/>
    <w:tmpl w:val="803AAFEA"/>
    <w:lvl w:ilvl="0" w:tplc="F18A04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9193973"/>
    <w:multiLevelType w:val="hybridMultilevel"/>
    <w:tmpl w:val="5E1CE208"/>
    <w:lvl w:ilvl="0" w:tplc="9E4C335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FE486F"/>
    <w:multiLevelType w:val="multilevel"/>
    <w:tmpl w:val="6D40AC64"/>
    <w:lvl w:ilvl="0">
      <w:start w:val="1"/>
      <w:numFmt w:val="decimal"/>
      <w:pStyle w:val="Kop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46B7DEC"/>
    <w:multiLevelType w:val="hybridMultilevel"/>
    <w:tmpl w:val="37FE7BC8"/>
    <w:lvl w:ilvl="0" w:tplc="9E4C3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FB741F"/>
    <w:multiLevelType w:val="hybridMultilevel"/>
    <w:tmpl w:val="0FE29E30"/>
    <w:lvl w:ilvl="0" w:tplc="9E4C3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B197F"/>
    <w:multiLevelType w:val="hybridMultilevel"/>
    <w:tmpl w:val="A7446D8C"/>
    <w:lvl w:ilvl="0" w:tplc="9E4C3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D4B2D"/>
    <w:multiLevelType w:val="hybridMultilevel"/>
    <w:tmpl w:val="65946BEE"/>
    <w:lvl w:ilvl="0" w:tplc="03844B3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9029CE"/>
    <w:multiLevelType w:val="hybridMultilevel"/>
    <w:tmpl w:val="FA0AEE18"/>
    <w:lvl w:ilvl="0" w:tplc="9E4C3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B5448"/>
    <w:multiLevelType w:val="hybridMultilevel"/>
    <w:tmpl w:val="1F987BAA"/>
    <w:lvl w:ilvl="0" w:tplc="9E4C3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45B55"/>
    <w:multiLevelType w:val="hybridMultilevel"/>
    <w:tmpl w:val="187CD0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8"/>
  </w:num>
  <w:num w:numId="4">
    <w:abstractNumId w:val="3"/>
  </w:num>
  <w:num w:numId="5">
    <w:abstractNumId w:val="2"/>
  </w:num>
  <w:num w:numId="6">
    <w:abstractNumId w:val="0"/>
  </w:num>
  <w:num w:numId="7">
    <w:abstractNumId w:val="6"/>
  </w:num>
  <w:num w:numId="8">
    <w:abstractNumId w:val="7"/>
  </w:num>
  <w:num w:numId="9">
    <w:abstractNumId w:val="5"/>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3F"/>
    <w:rsid w:val="00023A44"/>
    <w:rsid w:val="000265A9"/>
    <w:rsid w:val="00031C1D"/>
    <w:rsid w:val="000363BC"/>
    <w:rsid w:val="00040858"/>
    <w:rsid w:val="00040862"/>
    <w:rsid w:val="00044D26"/>
    <w:rsid w:val="000459E7"/>
    <w:rsid w:val="00050877"/>
    <w:rsid w:val="000523FE"/>
    <w:rsid w:val="00053230"/>
    <w:rsid w:val="0005475F"/>
    <w:rsid w:val="00060E97"/>
    <w:rsid w:val="000612B7"/>
    <w:rsid w:val="00062C09"/>
    <w:rsid w:val="000661DD"/>
    <w:rsid w:val="00071DC3"/>
    <w:rsid w:val="00092C4B"/>
    <w:rsid w:val="000A006C"/>
    <w:rsid w:val="000A298A"/>
    <w:rsid w:val="000C574F"/>
    <w:rsid w:val="000C70C8"/>
    <w:rsid w:val="000D6380"/>
    <w:rsid w:val="000F2649"/>
    <w:rsid w:val="000F5316"/>
    <w:rsid w:val="00114D07"/>
    <w:rsid w:val="00124F10"/>
    <w:rsid w:val="00153EF0"/>
    <w:rsid w:val="00155AC5"/>
    <w:rsid w:val="00185CC1"/>
    <w:rsid w:val="00191E06"/>
    <w:rsid w:val="001923AC"/>
    <w:rsid w:val="00192C5C"/>
    <w:rsid w:val="00197D2F"/>
    <w:rsid w:val="001B1D9F"/>
    <w:rsid w:val="001C38A4"/>
    <w:rsid w:val="001D2BE0"/>
    <w:rsid w:val="001F172D"/>
    <w:rsid w:val="001F26F3"/>
    <w:rsid w:val="0020697B"/>
    <w:rsid w:val="00232B13"/>
    <w:rsid w:val="0023300B"/>
    <w:rsid w:val="00241D55"/>
    <w:rsid w:val="00244691"/>
    <w:rsid w:val="00270747"/>
    <w:rsid w:val="0027313C"/>
    <w:rsid w:val="002803A2"/>
    <w:rsid w:val="0029490F"/>
    <w:rsid w:val="002C22D4"/>
    <w:rsid w:val="002D614D"/>
    <w:rsid w:val="002E3DA3"/>
    <w:rsid w:val="002F1F9F"/>
    <w:rsid w:val="00300F71"/>
    <w:rsid w:val="00306F80"/>
    <w:rsid w:val="003103BC"/>
    <w:rsid w:val="00315A72"/>
    <w:rsid w:val="0032382F"/>
    <w:rsid w:val="003461CF"/>
    <w:rsid w:val="003513B5"/>
    <w:rsid w:val="003547FE"/>
    <w:rsid w:val="00357FAD"/>
    <w:rsid w:val="00365D9F"/>
    <w:rsid w:val="00374B49"/>
    <w:rsid w:val="00375D50"/>
    <w:rsid w:val="00376D7E"/>
    <w:rsid w:val="003843CC"/>
    <w:rsid w:val="003C368F"/>
    <w:rsid w:val="003D4237"/>
    <w:rsid w:val="003E279F"/>
    <w:rsid w:val="003E56AB"/>
    <w:rsid w:val="003F7DC9"/>
    <w:rsid w:val="00402759"/>
    <w:rsid w:val="00424841"/>
    <w:rsid w:val="004372C2"/>
    <w:rsid w:val="00441C9B"/>
    <w:rsid w:val="004507F9"/>
    <w:rsid w:val="004516C0"/>
    <w:rsid w:val="00466D97"/>
    <w:rsid w:val="00474CA3"/>
    <w:rsid w:val="004753F3"/>
    <w:rsid w:val="00476555"/>
    <w:rsid w:val="004B6BDD"/>
    <w:rsid w:val="004C4B2B"/>
    <w:rsid w:val="004D2BCE"/>
    <w:rsid w:val="004E61AE"/>
    <w:rsid w:val="004F1A28"/>
    <w:rsid w:val="0050499A"/>
    <w:rsid w:val="005052CA"/>
    <w:rsid w:val="00505947"/>
    <w:rsid w:val="00510ABA"/>
    <w:rsid w:val="0053551C"/>
    <w:rsid w:val="00545F0B"/>
    <w:rsid w:val="00555FA0"/>
    <w:rsid w:val="00574FBC"/>
    <w:rsid w:val="00585E2D"/>
    <w:rsid w:val="0058688B"/>
    <w:rsid w:val="005B2660"/>
    <w:rsid w:val="005B5518"/>
    <w:rsid w:val="005C0292"/>
    <w:rsid w:val="005C68B5"/>
    <w:rsid w:val="005D1D80"/>
    <w:rsid w:val="005D5877"/>
    <w:rsid w:val="005E200A"/>
    <w:rsid w:val="005E40F6"/>
    <w:rsid w:val="005E5415"/>
    <w:rsid w:val="005F1AD1"/>
    <w:rsid w:val="00621B68"/>
    <w:rsid w:val="00646388"/>
    <w:rsid w:val="00654F2B"/>
    <w:rsid w:val="006A1D2C"/>
    <w:rsid w:val="006A508F"/>
    <w:rsid w:val="006B1D85"/>
    <w:rsid w:val="006D01E1"/>
    <w:rsid w:val="006D0E23"/>
    <w:rsid w:val="006D37D2"/>
    <w:rsid w:val="006D3DA9"/>
    <w:rsid w:val="006E49A6"/>
    <w:rsid w:val="006F2B68"/>
    <w:rsid w:val="006F5420"/>
    <w:rsid w:val="00710123"/>
    <w:rsid w:val="00723D6E"/>
    <w:rsid w:val="00726E31"/>
    <w:rsid w:val="00736211"/>
    <w:rsid w:val="00744E82"/>
    <w:rsid w:val="007520DA"/>
    <w:rsid w:val="00753036"/>
    <w:rsid w:val="0076118E"/>
    <w:rsid w:val="00761BC6"/>
    <w:rsid w:val="0076515E"/>
    <w:rsid w:val="00790745"/>
    <w:rsid w:val="00796EE7"/>
    <w:rsid w:val="007A7425"/>
    <w:rsid w:val="007B12D1"/>
    <w:rsid w:val="007C36BC"/>
    <w:rsid w:val="007E0A70"/>
    <w:rsid w:val="007E44DC"/>
    <w:rsid w:val="007F11A0"/>
    <w:rsid w:val="00807617"/>
    <w:rsid w:val="0081649D"/>
    <w:rsid w:val="00823114"/>
    <w:rsid w:val="00833FA8"/>
    <w:rsid w:val="008372B2"/>
    <w:rsid w:val="00841D0A"/>
    <w:rsid w:val="00871EAA"/>
    <w:rsid w:val="0087779F"/>
    <w:rsid w:val="00886952"/>
    <w:rsid w:val="008877F8"/>
    <w:rsid w:val="008939FF"/>
    <w:rsid w:val="008B194C"/>
    <w:rsid w:val="008B5DA0"/>
    <w:rsid w:val="008C2CBD"/>
    <w:rsid w:val="008C3692"/>
    <w:rsid w:val="008C4439"/>
    <w:rsid w:val="008E182B"/>
    <w:rsid w:val="009015C0"/>
    <w:rsid w:val="00905BAC"/>
    <w:rsid w:val="00914116"/>
    <w:rsid w:val="0091418B"/>
    <w:rsid w:val="00916ED0"/>
    <w:rsid w:val="009213B8"/>
    <w:rsid w:val="0092536C"/>
    <w:rsid w:val="00927867"/>
    <w:rsid w:val="0093044F"/>
    <w:rsid w:val="00937ED3"/>
    <w:rsid w:val="009449E0"/>
    <w:rsid w:val="00945BEE"/>
    <w:rsid w:val="00947298"/>
    <w:rsid w:val="00950E27"/>
    <w:rsid w:val="00954D53"/>
    <w:rsid w:val="00960D2F"/>
    <w:rsid w:val="00986D71"/>
    <w:rsid w:val="00997684"/>
    <w:rsid w:val="009A6D0E"/>
    <w:rsid w:val="009C3307"/>
    <w:rsid w:val="009E4259"/>
    <w:rsid w:val="009E5A81"/>
    <w:rsid w:val="009F0027"/>
    <w:rsid w:val="009F07A4"/>
    <w:rsid w:val="009F6F30"/>
    <w:rsid w:val="009F72A4"/>
    <w:rsid w:val="00A01BEC"/>
    <w:rsid w:val="00A060A3"/>
    <w:rsid w:val="00A062F4"/>
    <w:rsid w:val="00A1358C"/>
    <w:rsid w:val="00A24173"/>
    <w:rsid w:val="00A24768"/>
    <w:rsid w:val="00A24AF0"/>
    <w:rsid w:val="00A333E5"/>
    <w:rsid w:val="00A408D9"/>
    <w:rsid w:val="00A4455E"/>
    <w:rsid w:val="00A462CB"/>
    <w:rsid w:val="00A57EAA"/>
    <w:rsid w:val="00A757CD"/>
    <w:rsid w:val="00A81F6A"/>
    <w:rsid w:val="00A96157"/>
    <w:rsid w:val="00AA3165"/>
    <w:rsid w:val="00AA4010"/>
    <w:rsid w:val="00AC28AC"/>
    <w:rsid w:val="00AD1D9B"/>
    <w:rsid w:val="00AD49A9"/>
    <w:rsid w:val="00AE2051"/>
    <w:rsid w:val="00AE7DC0"/>
    <w:rsid w:val="00B2647B"/>
    <w:rsid w:val="00B3090B"/>
    <w:rsid w:val="00B45688"/>
    <w:rsid w:val="00B472CF"/>
    <w:rsid w:val="00B51F82"/>
    <w:rsid w:val="00B529B1"/>
    <w:rsid w:val="00B54A66"/>
    <w:rsid w:val="00B57A3D"/>
    <w:rsid w:val="00B64E3F"/>
    <w:rsid w:val="00B66C7A"/>
    <w:rsid w:val="00B7305F"/>
    <w:rsid w:val="00B8060C"/>
    <w:rsid w:val="00B93597"/>
    <w:rsid w:val="00BA2476"/>
    <w:rsid w:val="00BA2EFE"/>
    <w:rsid w:val="00BA35C0"/>
    <w:rsid w:val="00BB26CF"/>
    <w:rsid w:val="00BD1530"/>
    <w:rsid w:val="00BD2701"/>
    <w:rsid w:val="00BD4B29"/>
    <w:rsid w:val="00BF16C9"/>
    <w:rsid w:val="00BF56AC"/>
    <w:rsid w:val="00C040F4"/>
    <w:rsid w:val="00C04C14"/>
    <w:rsid w:val="00C06F57"/>
    <w:rsid w:val="00C168AD"/>
    <w:rsid w:val="00C31104"/>
    <w:rsid w:val="00C43237"/>
    <w:rsid w:val="00C511B2"/>
    <w:rsid w:val="00C61421"/>
    <w:rsid w:val="00C75E46"/>
    <w:rsid w:val="00C81961"/>
    <w:rsid w:val="00C90EA5"/>
    <w:rsid w:val="00CB214D"/>
    <w:rsid w:val="00CC17A5"/>
    <w:rsid w:val="00CC7B79"/>
    <w:rsid w:val="00CE7885"/>
    <w:rsid w:val="00CF6ABA"/>
    <w:rsid w:val="00D16335"/>
    <w:rsid w:val="00D17549"/>
    <w:rsid w:val="00D27FCA"/>
    <w:rsid w:val="00D32CA7"/>
    <w:rsid w:val="00D40EEF"/>
    <w:rsid w:val="00D50172"/>
    <w:rsid w:val="00D50633"/>
    <w:rsid w:val="00D66FEE"/>
    <w:rsid w:val="00DB3BCD"/>
    <w:rsid w:val="00DC0E4B"/>
    <w:rsid w:val="00DD6363"/>
    <w:rsid w:val="00DE08CD"/>
    <w:rsid w:val="00E10586"/>
    <w:rsid w:val="00E17588"/>
    <w:rsid w:val="00E5777A"/>
    <w:rsid w:val="00E67C62"/>
    <w:rsid w:val="00E71ACF"/>
    <w:rsid w:val="00E846B1"/>
    <w:rsid w:val="00E97A4E"/>
    <w:rsid w:val="00EA434B"/>
    <w:rsid w:val="00ED5D18"/>
    <w:rsid w:val="00EE042A"/>
    <w:rsid w:val="00EF2DC2"/>
    <w:rsid w:val="00F130CF"/>
    <w:rsid w:val="00F215A6"/>
    <w:rsid w:val="00F3236B"/>
    <w:rsid w:val="00F32A85"/>
    <w:rsid w:val="00F444A8"/>
    <w:rsid w:val="00F45D3E"/>
    <w:rsid w:val="00F606EC"/>
    <w:rsid w:val="00F6535E"/>
    <w:rsid w:val="00F6760F"/>
    <w:rsid w:val="00F740D3"/>
    <w:rsid w:val="00F75288"/>
    <w:rsid w:val="00F8397A"/>
    <w:rsid w:val="00FA0430"/>
    <w:rsid w:val="00FA353F"/>
    <w:rsid w:val="00FB2454"/>
    <w:rsid w:val="00FC4722"/>
    <w:rsid w:val="00FD7713"/>
    <w:rsid w:val="00FE1184"/>
    <w:rsid w:val="00FE2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E942FC"/>
  <w15:chartTrackingRefBased/>
  <w15:docId w15:val="{49EBBA51-2795-48F5-83BC-808487CF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Lijstalinea"/>
    <w:next w:val="Standaard"/>
    <w:link w:val="Kop1Char"/>
    <w:uiPriority w:val="9"/>
    <w:qFormat/>
    <w:rsid w:val="00A24173"/>
    <w:pPr>
      <w:numPr>
        <w:numId w:val="1"/>
      </w:numPr>
      <w:outlineLvl w:val="0"/>
    </w:pPr>
    <w:rPr>
      <w:b/>
      <w:color w:val="0070C0"/>
      <w:sz w:val="32"/>
      <w:szCs w:val="32"/>
    </w:rPr>
  </w:style>
  <w:style w:type="paragraph" w:styleId="Kop2">
    <w:name w:val="heading 2"/>
    <w:basedOn w:val="Standaard"/>
    <w:next w:val="Standaard"/>
    <w:link w:val="Kop2Char"/>
    <w:uiPriority w:val="9"/>
    <w:unhideWhenUsed/>
    <w:qFormat/>
    <w:rsid w:val="005B5518"/>
    <w:pPr>
      <w:outlineLvl w:val="1"/>
    </w:pPr>
    <w:rPr>
      <w:b/>
      <w:i/>
      <w:color w:val="0070C0"/>
      <w:sz w:val="28"/>
    </w:rPr>
  </w:style>
  <w:style w:type="paragraph" w:styleId="Kop3">
    <w:name w:val="heading 3"/>
    <w:basedOn w:val="Standaard"/>
    <w:next w:val="Standaard"/>
    <w:link w:val="Kop3Char"/>
    <w:uiPriority w:val="9"/>
    <w:unhideWhenUsed/>
    <w:qFormat/>
    <w:rsid w:val="00A24173"/>
    <w:pPr>
      <w:outlineLvl w:val="2"/>
    </w:pPr>
    <w:rPr>
      <w:i/>
      <w:color w:val="0070C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24173"/>
    <w:pPr>
      <w:ind w:left="720"/>
      <w:contextualSpacing/>
    </w:pPr>
  </w:style>
  <w:style w:type="character" w:customStyle="1" w:styleId="Kop1Char">
    <w:name w:val="Kop 1 Char"/>
    <w:basedOn w:val="Standaardalinea-lettertype"/>
    <w:link w:val="Kop1"/>
    <w:uiPriority w:val="9"/>
    <w:rsid w:val="00A24173"/>
    <w:rPr>
      <w:b/>
      <w:color w:val="0070C0"/>
      <w:sz w:val="32"/>
      <w:szCs w:val="32"/>
    </w:rPr>
  </w:style>
  <w:style w:type="character" w:customStyle="1" w:styleId="Kop2Char">
    <w:name w:val="Kop 2 Char"/>
    <w:basedOn w:val="Standaardalinea-lettertype"/>
    <w:link w:val="Kop2"/>
    <w:uiPriority w:val="9"/>
    <w:rsid w:val="00A24173"/>
    <w:rPr>
      <w:b/>
      <w:i/>
      <w:color w:val="0070C0"/>
      <w:sz w:val="28"/>
    </w:rPr>
  </w:style>
  <w:style w:type="character" w:customStyle="1" w:styleId="Kop3Char">
    <w:name w:val="Kop 3 Char"/>
    <w:basedOn w:val="Standaardalinea-lettertype"/>
    <w:link w:val="Kop3"/>
    <w:uiPriority w:val="9"/>
    <w:rsid w:val="00A24173"/>
    <w:rPr>
      <w:i/>
      <w:color w:val="0070C0"/>
      <w:sz w:val="24"/>
    </w:rPr>
  </w:style>
  <w:style w:type="paragraph" w:styleId="Ballontekst">
    <w:name w:val="Balloon Text"/>
    <w:basedOn w:val="Standaard"/>
    <w:link w:val="BallontekstChar"/>
    <w:uiPriority w:val="99"/>
    <w:semiHidden/>
    <w:unhideWhenUsed/>
    <w:rsid w:val="00474CA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74CA3"/>
    <w:rPr>
      <w:rFonts w:ascii="Segoe UI" w:hAnsi="Segoe UI" w:cs="Segoe UI"/>
      <w:sz w:val="18"/>
      <w:szCs w:val="18"/>
    </w:rPr>
  </w:style>
  <w:style w:type="paragraph" w:styleId="Kopvaninhoudsopgave">
    <w:name w:val="TOC Heading"/>
    <w:basedOn w:val="Kop1"/>
    <w:next w:val="Standaard"/>
    <w:uiPriority w:val="39"/>
    <w:unhideWhenUsed/>
    <w:qFormat/>
    <w:rsid w:val="005C68B5"/>
    <w:pPr>
      <w:keepNext/>
      <w:keepLines/>
      <w:numPr>
        <w:numId w:val="0"/>
      </w:numPr>
      <w:spacing w:before="240" w:after="0"/>
      <w:contextualSpacing w:val="0"/>
      <w:outlineLvl w:val="9"/>
    </w:pPr>
    <w:rPr>
      <w:rFonts w:asciiTheme="majorHAnsi" w:eastAsiaTheme="majorEastAsia" w:hAnsiTheme="majorHAnsi" w:cstheme="majorBidi"/>
      <w:b w:val="0"/>
      <w:color w:val="2F5496" w:themeColor="accent1" w:themeShade="BF"/>
    </w:rPr>
  </w:style>
  <w:style w:type="paragraph" w:styleId="Inhopg2">
    <w:name w:val="toc 2"/>
    <w:basedOn w:val="Standaard"/>
    <w:next w:val="Standaard"/>
    <w:autoRedefine/>
    <w:uiPriority w:val="39"/>
    <w:unhideWhenUsed/>
    <w:rsid w:val="005C68B5"/>
    <w:pPr>
      <w:spacing w:after="100"/>
      <w:ind w:left="220"/>
    </w:pPr>
    <w:rPr>
      <w:rFonts w:eastAsiaTheme="minorEastAsia" w:cs="Times New Roman"/>
    </w:rPr>
  </w:style>
  <w:style w:type="paragraph" w:styleId="Inhopg1">
    <w:name w:val="toc 1"/>
    <w:basedOn w:val="Standaard"/>
    <w:next w:val="Standaard"/>
    <w:autoRedefine/>
    <w:uiPriority w:val="39"/>
    <w:unhideWhenUsed/>
    <w:rsid w:val="005C68B5"/>
    <w:pPr>
      <w:spacing w:after="100"/>
    </w:pPr>
    <w:rPr>
      <w:rFonts w:eastAsiaTheme="minorEastAsia" w:cs="Times New Roman"/>
    </w:rPr>
  </w:style>
  <w:style w:type="paragraph" w:styleId="Inhopg3">
    <w:name w:val="toc 3"/>
    <w:basedOn w:val="Standaard"/>
    <w:next w:val="Standaard"/>
    <w:autoRedefine/>
    <w:uiPriority w:val="39"/>
    <w:unhideWhenUsed/>
    <w:rsid w:val="005C68B5"/>
    <w:pPr>
      <w:spacing w:after="100"/>
      <w:ind w:left="440"/>
    </w:pPr>
    <w:rPr>
      <w:rFonts w:eastAsiaTheme="minorEastAsia" w:cs="Times New Roman"/>
    </w:rPr>
  </w:style>
  <w:style w:type="character" w:styleId="Hyperlink">
    <w:name w:val="Hyperlink"/>
    <w:basedOn w:val="Standaardalinea-lettertype"/>
    <w:uiPriority w:val="99"/>
    <w:unhideWhenUsed/>
    <w:rsid w:val="005C68B5"/>
    <w:rPr>
      <w:color w:val="0563C1" w:themeColor="hyperlink"/>
      <w:u w:val="single"/>
    </w:rPr>
  </w:style>
  <w:style w:type="table" w:styleId="Tabelraster">
    <w:name w:val="Table Grid"/>
    <w:basedOn w:val="Standaardtabel"/>
    <w:uiPriority w:val="39"/>
    <w:rsid w:val="00621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F16C9"/>
    <w:pPr>
      <w:spacing w:after="0" w:line="240" w:lineRule="auto"/>
    </w:pPr>
    <w:rPr>
      <w:lang w:val="nl-NL"/>
    </w:rPr>
  </w:style>
  <w:style w:type="character" w:styleId="Onopgelostemelding">
    <w:name w:val="Unresolved Mention"/>
    <w:basedOn w:val="Standaardalinea-lettertype"/>
    <w:uiPriority w:val="99"/>
    <w:semiHidden/>
    <w:unhideWhenUsed/>
    <w:rsid w:val="00A57EAA"/>
    <w:rPr>
      <w:color w:val="605E5C"/>
      <w:shd w:val="clear" w:color="auto" w:fill="E1DFDD"/>
    </w:rPr>
  </w:style>
  <w:style w:type="paragraph" w:styleId="Revisie">
    <w:name w:val="Revision"/>
    <w:hidden/>
    <w:uiPriority w:val="99"/>
    <w:semiHidden/>
    <w:rsid w:val="007E44DC"/>
    <w:pPr>
      <w:spacing w:after="0" w:line="240" w:lineRule="auto"/>
    </w:pPr>
  </w:style>
  <w:style w:type="paragraph" w:styleId="Voetnoottekst">
    <w:name w:val="footnote text"/>
    <w:basedOn w:val="Standaard"/>
    <w:link w:val="VoetnoottekstChar"/>
    <w:uiPriority w:val="99"/>
    <w:semiHidden/>
    <w:unhideWhenUsed/>
    <w:rsid w:val="00E175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17588"/>
    <w:rPr>
      <w:sz w:val="20"/>
      <w:szCs w:val="20"/>
    </w:rPr>
  </w:style>
  <w:style w:type="character" w:styleId="Voetnootmarkering">
    <w:name w:val="footnote reference"/>
    <w:basedOn w:val="Standaardalinea-lettertype"/>
    <w:uiPriority w:val="99"/>
    <w:semiHidden/>
    <w:unhideWhenUsed/>
    <w:rsid w:val="00E17588"/>
    <w:rPr>
      <w:vertAlign w:val="superscript"/>
    </w:rPr>
  </w:style>
  <w:style w:type="character" w:styleId="Verwijzingopmerking">
    <w:name w:val="annotation reference"/>
    <w:basedOn w:val="Standaardalinea-lettertype"/>
    <w:uiPriority w:val="99"/>
    <w:semiHidden/>
    <w:unhideWhenUsed/>
    <w:rsid w:val="00950E27"/>
    <w:rPr>
      <w:sz w:val="16"/>
      <w:szCs w:val="16"/>
    </w:rPr>
  </w:style>
  <w:style w:type="paragraph" w:styleId="Tekstopmerking">
    <w:name w:val="annotation text"/>
    <w:basedOn w:val="Standaard"/>
    <w:link w:val="TekstopmerkingChar"/>
    <w:uiPriority w:val="99"/>
    <w:semiHidden/>
    <w:unhideWhenUsed/>
    <w:rsid w:val="00950E2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50E27"/>
    <w:rPr>
      <w:sz w:val="20"/>
      <w:szCs w:val="20"/>
    </w:rPr>
  </w:style>
  <w:style w:type="paragraph" w:styleId="Onderwerpvanopmerking">
    <w:name w:val="annotation subject"/>
    <w:basedOn w:val="Tekstopmerking"/>
    <w:next w:val="Tekstopmerking"/>
    <w:link w:val="OnderwerpvanopmerkingChar"/>
    <w:uiPriority w:val="99"/>
    <w:semiHidden/>
    <w:unhideWhenUsed/>
    <w:rsid w:val="00950E27"/>
    <w:rPr>
      <w:b/>
      <w:bCs/>
    </w:rPr>
  </w:style>
  <w:style w:type="character" w:customStyle="1" w:styleId="OnderwerpvanopmerkingChar">
    <w:name w:val="Onderwerp van opmerking Char"/>
    <w:basedOn w:val="TekstopmerkingChar"/>
    <w:link w:val="Onderwerpvanopmerking"/>
    <w:uiPriority w:val="99"/>
    <w:semiHidden/>
    <w:rsid w:val="00950E27"/>
    <w:rPr>
      <w:b/>
      <w:bCs/>
      <w:sz w:val="20"/>
      <w:szCs w:val="20"/>
    </w:rPr>
  </w:style>
  <w:style w:type="paragraph" w:styleId="Koptekst">
    <w:name w:val="header"/>
    <w:basedOn w:val="Standaard"/>
    <w:link w:val="KoptekstChar"/>
    <w:uiPriority w:val="99"/>
    <w:unhideWhenUsed/>
    <w:rsid w:val="000A29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298A"/>
  </w:style>
  <w:style w:type="paragraph" w:styleId="Voettekst">
    <w:name w:val="footer"/>
    <w:basedOn w:val="Standaard"/>
    <w:link w:val="VoettekstChar"/>
    <w:uiPriority w:val="99"/>
    <w:unhideWhenUsed/>
    <w:rsid w:val="000A29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2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1185">
      <w:bodyDiv w:val="1"/>
      <w:marLeft w:val="0"/>
      <w:marRight w:val="0"/>
      <w:marTop w:val="0"/>
      <w:marBottom w:val="0"/>
      <w:divBdr>
        <w:top w:val="none" w:sz="0" w:space="0" w:color="auto"/>
        <w:left w:val="none" w:sz="0" w:space="0" w:color="auto"/>
        <w:bottom w:val="none" w:sz="0" w:space="0" w:color="auto"/>
        <w:right w:val="none" w:sz="0" w:space="0" w:color="auto"/>
      </w:divBdr>
    </w:div>
    <w:div w:id="104008149">
      <w:bodyDiv w:val="1"/>
      <w:marLeft w:val="0"/>
      <w:marRight w:val="0"/>
      <w:marTop w:val="0"/>
      <w:marBottom w:val="0"/>
      <w:divBdr>
        <w:top w:val="none" w:sz="0" w:space="0" w:color="auto"/>
        <w:left w:val="none" w:sz="0" w:space="0" w:color="auto"/>
        <w:bottom w:val="none" w:sz="0" w:space="0" w:color="auto"/>
        <w:right w:val="none" w:sz="0" w:space="0" w:color="auto"/>
      </w:divBdr>
    </w:div>
    <w:div w:id="129832115">
      <w:bodyDiv w:val="1"/>
      <w:marLeft w:val="0"/>
      <w:marRight w:val="0"/>
      <w:marTop w:val="0"/>
      <w:marBottom w:val="0"/>
      <w:divBdr>
        <w:top w:val="none" w:sz="0" w:space="0" w:color="auto"/>
        <w:left w:val="none" w:sz="0" w:space="0" w:color="auto"/>
        <w:bottom w:val="none" w:sz="0" w:space="0" w:color="auto"/>
        <w:right w:val="none" w:sz="0" w:space="0" w:color="auto"/>
      </w:divBdr>
    </w:div>
    <w:div w:id="27945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kkemx2\OneDrive%20-%20Abbott\ADD\__previous\Templates\Algemeen_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74BDF-8092-4182-94E8-61EFB02B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Algemeen_Document</Template>
  <TotalTime>141</TotalTime>
  <Pages>9</Pages>
  <Words>3184</Words>
  <Characters>17513</Characters>
  <Application>Microsoft Office Word</Application>
  <DocSecurity>0</DocSecurity>
  <Lines>145</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Dekker, Maarten</dc:creator>
  <cp:keywords/>
  <dc:description/>
  <cp:lastModifiedBy>Ton van Geijlswijk</cp:lastModifiedBy>
  <cp:revision>4</cp:revision>
  <dcterms:created xsi:type="dcterms:W3CDTF">2021-12-09T08:16:00Z</dcterms:created>
  <dcterms:modified xsi:type="dcterms:W3CDTF">2021-12-09T13:10:00Z</dcterms:modified>
</cp:coreProperties>
</file>